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6.xml" ContentType="application/xml"/>
  <Override PartName="/customXml/itemProps6.xml" ContentType="application/vnd.openxmlformats-officedocument.customXmlProperties+xml"/>
  <Override PartName="/customXml/item7.xml" ContentType="application/xml"/>
  <Override PartName="/customXml/itemProps7.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PREGÃO ELETRÔNICO</w:t>
      </w:r>
      <w:r>
        <w:rPr>
          <w:rFonts w:cs="Arial" w:ascii="Calibri" w:hAnsi="Calibri"/>
          <w:b/>
          <w:bCs/>
          <w:i w:val="false"/>
          <w:iCs w:val="false"/>
          <w:color w:val="000000"/>
          <w:sz w:val="24"/>
          <w:szCs w:val="24"/>
          <w:shd w:fill="auto" w:val="clear"/>
        </w:rPr>
        <w:t xml:space="preserve"> </w:t>
      </w:r>
    </w:p>
    <w:p>
      <w:pPr>
        <w:pStyle w:val="Normal"/>
        <w:spacing w:lineRule="auto" w:line="240" w:before="0" w:after="0"/>
        <w:contextualSpacing/>
        <w:jc w:val="center"/>
        <w:rPr>
          <w:rFonts w:ascii="Calibri" w:hAnsi="Calibri"/>
          <w:i w:val="false"/>
          <w:i w:val="false"/>
          <w:iCs w:val="false"/>
          <w:color w:val="000000"/>
          <w:sz w:val="24"/>
          <w:szCs w:val="24"/>
          <w:shd w:fill="auto" w:val="clear"/>
        </w:rPr>
      </w:pPr>
      <w:r>
        <w:rPr>
          <w:rFonts w:cs="Arial" w:ascii="Calibri" w:hAnsi="Calibri"/>
          <w:b/>
          <w:bCs/>
          <w:i w:val="false"/>
          <w:iCs w:val="false"/>
          <w:color w:val="000000"/>
          <w:sz w:val="24"/>
          <w:szCs w:val="24"/>
          <w:shd w:fill="auto" w:val="clear"/>
        </w:rPr>
        <w:t>MARINHA DO BRASIL</w:t>
      </w:r>
    </w:p>
    <w:p>
      <w:pPr>
        <w:pStyle w:val="Normal"/>
        <w:spacing w:lineRule="auto" w:line="240" w:before="0" w:after="0"/>
        <w:ind w:left="0" w:right="0" w:firstLine="567"/>
        <w:contextualSpacing/>
        <w:jc w:val="center"/>
        <w:rPr>
          <w:rFonts w:ascii="Calibri" w:hAnsi="Calibri"/>
          <w:i w:val="false"/>
          <w:i w:val="false"/>
          <w:iCs w:val="false"/>
          <w:color w:val="000000"/>
          <w:sz w:val="24"/>
          <w:szCs w:val="24"/>
          <w:shd w:fill="auto" w:val="clear"/>
        </w:rPr>
      </w:pPr>
      <w:r>
        <w:rPr>
          <w:rFonts w:eastAsia="Times New Roman" w:cs="Times New Roman" w:ascii="Calibri" w:hAnsi="Calibri"/>
          <w:b/>
          <w:bCs/>
          <w:i w:val="false"/>
          <w:iCs w:val="false"/>
          <w:color w:val="000000"/>
          <w:sz w:val="24"/>
          <w:szCs w:val="24"/>
          <w:shd w:fill="auto" w:val="clear"/>
        </w:rPr>
        <w:t>ESCOLA DE APRENDIZES-MARINHEIROS DO CEARÁ</w:t>
      </w:r>
    </w:p>
    <w:p>
      <w:pPr>
        <w:pStyle w:val="Normal"/>
        <w:spacing w:lineRule="auto" w:line="240" w:before="0" w:after="0"/>
        <w:ind w:left="0" w:right="0" w:firstLine="567"/>
        <w:contextualSpacing/>
        <w:jc w:val="center"/>
        <w:rPr>
          <w:rFonts w:ascii="Calibri" w:hAnsi="Calibri" w:eastAsia="Times New Roman" w:cs="Times New Roman"/>
          <w:b/>
          <w:b/>
          <w:bCs/>
          <w:i w:val="false"/>
          <w:i w:val="false"/>
          <w:iCs w:val="false"/>
          <w:color w:val="000000"/>
          <w:sz w:val="24"/>
          <w:szCs w:val="24"/>
          <w:shd w:fill="auto" w:val="clear"/>
        </w:rPr>
      </w:pPr>
      <w:r>
        <w:rPr>
          <w:rFonts w:eastAsia="Times New Roman" w:cs="Times New Roman" w:ascii="Calibri" w:hAnsi="Calibri"/>
          <w:b/>
          <w:bCs/>
          <w:i w:val="false"/>
          <w:iCs w:val="false"/>
          <w:color w:val="000000"/>
          <w:sz w:val="24"/>
          <w:szCs w:val="24"/>
          <w:shd w:fill="auto" w:val="clear"/>
        </w:rPr>
      </w:r>
    </w:p>
    <w:p>
      <w:pPr>
        <w:pStyle w:val="Normal"/>
        <w:spacing w:lineRule="auto" w:line="240" w:before="0" w:after="0"/>
        <w:ind w:left="0" w:right="0" w:firstLine="567"/>
        <w:contextualSpacing/>
        <w:jc w:val="center"/>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 xml:space="preserve">PREGÃO ELETRÔNICO Nº </w:t>
      </w:r>
      <w:r>
        <w:rPr>
          <w:rFonts w:cs="Arial" w:ascii="Calibri" w:hAnsi="Calibri"/>
          <w:b/>
          <w:i w:val="false"/>
          <w:iCs w:val="false"/>
          <w:color w:val="000000"/>
          <w:sz w:val="24"/>
          <w:szCs w:val="24"/>
          <w:shd w:fill="auto" w:val="clear"/>
          <w:lang w:eastAsia="pt-BR"/>
        </w:rPr>
        <w:t>15</w:t>
      </w:r>
      <w:r>
        <w:rPr>
          <w:rFonts w:cs="Arial" w:ascii="Calibri" w:hAnsi="Calibri"/>
          <w:b/>
          <w:i w:val="false"/>
          <w:iCs w:val="false"/>
          <w:color w:val="000000"/>
          <w:sz w:val="24"/>
          <w:szCs w:val="24"/>
          <w:shd w:fill="auto" w:val="clear"/>
        </w:rPr>
        <w:t>/20</w:t>
      </w:r>
      <w:r>
        <w:rPr>
          <w:rFonts w:cs="Arial" w:ascii="Calibri" w:hAnsi="Calibri"/>
          <w:b/>
          <w:i w:val="false"/>
          <w:iCs w:val="false"/>
          <w:color w:val="000000"/>
          <w:sz w:val="24"/>
          <w:szCs w:val="24"/>
          <w:shd w:fill="auto" w:val="clear"/>
          <w:lang w:eastAsia="pt-BR"/>
        </w:rPr>
        <w:t>23</w:t>
      </w:r>
    </w:p>
    <w:p>
      <w:pPr>
        <w:pStyle w:val="Normal"/>
        <w:spacing w:lineRule="auto" w:line="240" w:before="0" w:after="0"/>
        <w:ind w:left="0" w:right="0" w:firstLine="567"/>
        <w:contextualSpacing/>
        <w:jc w:val="center"/>
        <w:rPr/>
      </w:pPr>
      <w:r>
        <w:rPr>
          <w:rFonts w:cs="Arial" w:ascii="Calibri" w:hAnsi="Calibri"/>
          <w:b/>
          <w:bCs/>
          <w:i w:val="false"/>
          <w:iCs w:val="false"/>
          <w:color w:val="000000"/>
          <w:sz w:val="24"/>
          <w:szCs w:val="24"/>
          <w:shd w:fill="auto" w:val="clear"/>
        </w:rPr>
        <w:t xml:space="preserve">(Processo Administrativo n° </w:t>
      </w:r>
      <w:r>
        <w:rPr>
          <w:rStyle w:val="Nfaseforte"/>
          <w:rFonts w:cs="Arial" w:ascii="Calibri" w:hAnsi="Calibri"/>
          <w:b/>
          <w:bCs/>
          <w:i w:val="false"/>
          <w:iCs w:val="false"/>
          <w:color w:val="000000"/>
          <w:sz w:val="24"/>
          <w:szCs w:val="24"/>
          <w:shd w:fill="auto" w:val="clear"/>
        </w:rPr>
        <w:t>63116.005056/2023-78</w:t>
      </w:r>
      <w:r>
        <w:rPr>
          <w:rFonts w:cs="Arial" w:ascii="Calibri" w:hAnsi="Calibri"/>
          <w:b/>
          <w:bCs/>
          <w:i w:val="false"/>
          <w:iCs w:val="false"/>
          <w:color w:val="000000"/>
          <w:sz w:val="24"/>
          <w:szCs w:val="24"/>
          <w:shd w:fill="auto" w:val="clear"/>
        </w:rPr>
        <w:t>)</w:t>
      </w:r>
    </w:p>
    <w:p>
      <w:pPr>
        <w:pStyle w:val="Normal"/>
        <w:spacing w:lineRule="auto" w:line="240" w:before="0" w:after="0"/>
        <w:contextualSpacing/>
        <w:jc w:val="center"/>
        <w:rPr>
          <w:rFonts w:ascii="Calibri" w:hAnsi="Calibri" w:cs="Arial"/>
          <w:bCs/>
          <w:i w:val="false"/>
          <w:i w:val="false"/>
          <w:iCs w:val="false"/>
          <w:color w:val="000000"/>
          <w:sz w:val="24"/>
          <w:szCs w:val="24"/>
          <w:shd w:fill="auto" w:val="clear"/>
        </w:rPr>
      </w:pPr>
      <w:r>
        <w:rPr>
          <w:rFonts w:cs="Arial" w:ascii="Calibri" w:hAnsi="Calibri"/>
          <w:bCs/>
          <w:i w:val="false"/>
          <w:iCs w:val="false"/>
          <w:color w:val="000000"/>
          <w:sz w:val="24"/>
          <w:szCs w:val="24"/>
          <w:shd w:fill="auto" w:val="clear"/>
        </w:rPr>
      </w:r>
    </w:p>
    <w:p>
      <w:pPr>
        <w:pStyle w:val="Normal"/>
        <w:spacing w:lineRule="auto" w:line="240" w:before="0" w:after="0"/>
        <w:contextualSpacing/>
        <w:jc w:val="center"/>
        <w:rPr>
          <w:rFonts w:ascii="Calibri" w:hAnsi="Calibri" w:cs="Arial"/>
          <w:b/>
          <w:b/>
          <w:i w:val="false"/>
          <w:i w:val="false"/>
          <w:iCs w:val="false"/>
          <w:color w:val="000000"/>
          <w:sz w:val="24"/>
          <w:szCs w:val="24"/>
          <w:shd w:fill="auto" w:val="clear"/>
        </w:rPr>
      </w:pPr>
      <w:r>
        <w:rPr>
          <w:rFonts w:cs="Arial" w:ascii="Calibri" w:hAnsi="Calibri"/>
          <w:b/>
          <w:i w:val="false"/>
          <w:iCs w:val="false"/>
          <w:color w:val="000000"/>
          <w:sz w:val="24"/>
          <w:szCs w:val="24"/>
          <w:shd w:fill="auto" w:val="clear"/>
        </w:rPr>
      </w:r>
    </w:p>
    <w:p>
      <w:pPr>
        <w:pStyle w:val="Normal"/>
        <w:snapToGrid w:val="false"/>
        <w:spacing w:lineRule="auto" w:line="240" w:before="0" w:after="0"/>
        <w:ind w:right="-30" w:firstLine="54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Torna-se público que a </w:t>
      </w:r>
      <w:r>
        <w:rPr>
          <w:rFonts w:cs="Times New Roman" w:ascii="Calibri" w:hAnsi="Calibri"/>
          <w:bCs/>
          <w:i w:val="false"/>
          <w:iCs w:val="false"/>
          <w:color w:val="000000"/>
          <w:sz w:val="24"/>
          <w:szCs w:val="24"/>
          <w:shd w:fill="auto" w:val="clear"/>
        </w:rPr>
        <w:t>Escola de Aprendizes-Marinheiros do Ceará</w:t>
      </w:r>
      <w:r>
        <w:rPr>
          <w:rFonts w:cs="Arial" w:ascii="Calibri" w:hAnsi="Calibri"/>
          <w:i w:val="false"/>
          <w:iCs w:val="false"/>
          <w:color w:val="000000"/>
          <w:sz w:val="24"/>
          <w:szCs w:val="24"/>
          <w:shd w:fill="auto" w:val="clear"/>
        </w:rPr>
        <w:t xml:space="preserve">, por meio da </w:t>
      </w:r>
      <w:r>
        <w:rPr>
          <w:rFonts w:cs="Times New Roman" w:ascii="Calibri" w:hAnsi="Calibri"/>
          <w:bCs/>
          <w:i w:val="false"/>
          <w:iCs w:val="false"/>
          <w:color w:val="000000"/>
          <w:sz w:val="24"/>
          <w:szCs w:val="24"/>
          <w:shd w:fill="auto" w:val="clear"/>
        </w:rPr>
        <w:t>Divisão de Obtenção</w:t>
      </w:r>
      <w:r>
        <w:rPr>
          <w:rFonts w:cs="Arial" w:ascii="Calibri" w:hAnsi="Calibri"/>
          <w:i w:val="false"/>
          <w:iCs w:val="false"/>
          <w:color w:val="000000"/>
          <w:sz w:val="24"/>
          <w:szCs w:val="24"/>
          <w:shd w:fill="auto" w:val="clear"/>
        </w:rPr>
        <w:t xml:space="preserve">, sediada </w:t>
      </w:r>
      <w:r>
        <w:rPr>
          <w:rFonts w:cs="Times New Roman" w:ascii="Calibri" w:hAnsi="Calibri"/>
          <w:bCs/>
          <w:i w:val="false"/>
          <w:iCs w:val="false"/>
          <w:color w:val="000000"/>
          <w:sz w:val="24"/>
          <w:szCs w:val="24"/>
          <w:shd w:fill="auto" w:val="clear"/>
        </w:rPr>
        <w:t>Av. Coronel Filomeno Gomes, nº 30, Jacarecanga, Fortaleza-CE, CEP 60.010-280</w:t>
      </w:r>
      <w:r>
        <w:rPr>
          <w:rFonts w:cs="Arial" w:ascii="Calibri" w:hAnsi="Calibri"/>
          <w:i w:val="false"/>
          <w:iCs w:val="false"/>
          <w:color w:val="000000"/>
          <w:sz w:val="24"/>
          <w:szCs w:val="24"/>
          <w:shd w:fill="auto" w:val="clear"/>
        </w:rPr>
        <w:t>,, realizará licitação, para registro de preços, na modalidade PREGÃO, na forma ELETRÔNICA,</w:t>
      </w:r>
      <w:r>
        <w:rPr>
          <w:rFonts w:eastAsia="Times New Roman"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 xml:space="preserve">nos termos da Lei nº 10.520, de 17 de julho de 2002, </w:t>
      </w:r>
      <w:r>
        <w:rPr>
          <w:rFonts w:cs="Arial" w:ascii="Calibri" w:hAnsi="Calibri"/>
          <w:i w:val="false"/>
          <w:iCs w:val="false"/>
          <w:color w:val="000000" w:themeColor="text1"/>
          <w:sz w:val="24"/>
          <w:szCs w:val="24"/>
          <w:shd w:fill="auto" w:val="clear"/>
        </w:rPr>
        <w:t xml:space="preserve">do Decreto nº 10.024, de 20 de setembro de 2019, do Decreto </w:t>
      </w:r>
      <w:r>
        <w:rPr>
          <w:rFonts w:cs="Arial" w:ascii="Calibri" w:hAnsi="Calibri"/>
          <w:i w:val="false"/>
          <w:iCs w:val="false"/>
          <w:color w:val="000000"/>
          <w:sz w:val="24"/>
          <w:szCs w:val="24"/>
          <w:shd w:fill="auto" w:val="clear"/>
        </w:rPr>
        <w:t xml:space="preserve">nº 7.746, de 05 de junho de 2012, do Decreto nº 7892, de 23 de janeiro de 2013, da Instrução Normativa SLTI/MP nº 01, de 19 de janeiro de 2010, da Instrução Normativa SEGES/MP nº 03, de 26 de abril, de 2018, da Lei Complementar n° 123, de 14 de dezembro de 2006, da Lei nº 11.488, de 15 de junho de 2007, do Decreto n° </w:t>
      </w:r>
      <w:r>
        <w:rPr>
          <w:rFonts w:eastAsia="Times New Roman" w:cs="Arial" w:ascii="Calibri" w:hAnsi="Calibri"/>
          <w:i w:val="false"/>
          <w:iCs w:val="false"/>
          <w:color w:val="000000"/>
          <w:sz w:val="24"/>
          <w:szCs w:val="24"/>
          <w:shd w:fill="auto" w:val="clear"/>
        </w:rPr>
        <w:t>8.538, de 06</w:t>
      </w:r>
      <w:r>
        <w:rPr>
          <w:rFonts w:cs="Arial" w:ascii="Calibri" w:hAnsi="Calibri"/>
          <w:i w:val="false"/>
          <w:iCs w:val="false"/>
          <w:color w:val="000000"/>
          <w:sz w:val="24"/>
          <w:szCs w:val="24"/>
          <w:shd w:fill="auto" w:val="clear"/>
        </w:rPr>
        <w:t xml:space="preserve"> de outubro de 2015, aplicando-se, subsidiariamente, a Lei nº 8.666, de 21 de junho de 1993, e as exigências estabelecidas neste Edital</w:t>
      </w:r>
      <w:r>
        <w:rPr>
          <w:rFonts w:eastAsia="Times New Roman" w:cs="Arial" w:ascii="Calibri" w:hAnsi="Calibri"/>
          <w:i w:val="false"/>
          <w:iCs w:val="false"/>
          <w:color w:val="000000"/>
          <w:sz w:val="24"/>
          <w:szCs w:val="24"/>
          <w:shd w:fill="auto" w:val="clear"/>
        </w:rPr>
        <w:t>.</w:t>
      </w:r>
      <w:r>
        <w:rPr>
          <w:rFonts w:cs="Arial" w:ascii="Calibri" w:hAnsi="Calibri"/>
          <w:i w:val="false"/>
          <w:iCs w:val="false"/>
          <w:color w:val="000000"/>
          <w:sz w:val="24"/>
          <w:szCs w:val="24"/>
          <w:shd w:fill="auto" w:val="clear"/>
        </w:rPr>
        <w:t xml:space="preserve"> </w:t>
      </w:r>
    </w:p>
    <w:p>
      <w:pPr>
        <w:pStyle w:val="Normal"/>
        <w:snapToGrid w:val="false"/>
        <w:spacing w:lineRule="auto" w:line="240" w:before="0" w:after="0"/>
        <w:ind w:right="-30" w:hanging="0"/>
        <w:contextualSpacing/>
        <w:jc w:val="both"/>
        <w:rPr>
          <w:rFonts w:ascii="Calibri" w:hAnsi="Calibri" w:eastAsia="Arial" w:cs="Arial"/>
          <w:i w:val="false"/>
          <w:i w:val="false"/>
          <w:iCs w:val="false"/>
          <w:color w:val="000000" w:themeColor="text1"/>
          <w:sz w:val="24"/>
          <w:szCs w:val="24"/>
          <w:shd w:fill="auto" w:val="clear"/>
        </w:rPr>
      </w:pPr>
      <w:r>
        <w:rPr>
          <w:rFonts w:eastAsia="Arial" w:cs="Arial" w:ascii="Calibri" w:hAnsi="Calibri"/>
          <w:i w:val="false"/>
          <w:iCs w:val="false"/>
          <w:color w:val="000000" w:themeColor="text1"/>
          <w:sz w:val="24"/>
          <w:szCs w:val="24"/>
          <w:shd w:fill="auto" w:val="clear"/>
        </w:rPr>
      </w:r>
    </w:p>
    <w:p>
      <w:pPr>
        <w:pStyle w:val="Normal"/>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Data da sessão: 09 de janeiro de 2024 (terça-feira) </w:t>
      </w:r>
    </w:p>
    <w:p>
      <w:pPr>
        <w:pStyle w:val="Normal"/>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Horário: 10:00h (horário de Brasília) </w:t>
      </w:r>
    </w:p>
    <w:p>
      <w:pPr>
        <w:pStyle w:val="Normal"/>
        <w:spacing w:lineRule="auto" w:line="240" w:before="0" w:after="0"/>
        <w:contextualSpacing/>
        <w:rPr/>
      </w:pPr>
      <w:r>
        <w:rPr>
          <w:rFonts w:cs="Arial" w:ascii="Calibri" w:hAnsi="Calibri"/>
          <w:i w:val="false"/>
          <w:iCs w:val="false"/>
          <w:color w:val="000000"/>
          <w:sz w:val="24"/>
          <w:szCs w:val="24"/>
          <w:shd w:fill="auto" w:val="clear"/>
        </w:rPr>
        <w:t xml:space="preserve">Local: Portal de Compras do Governo Federal – </w:t>
      </w:r>
      <w:hyperlink r:id="rId2">
        <w:r>
          <w:rPr>
            <w:rStyle w:val="LinkdaInternet"/>
            <w:rFonts w:cs="Arial" w:ascii="Calibri" w:hAnsi="Calibri"/>
            <w:b/>
            <w:bCs/>
            <w:i w:val="false"/>
            <w:iCs w:val="false"/>
            <w:color w:val="000000"/>
            <w:sz w:val="24"/>
            <w:szCs w:val="24"/>
            <w:shd w:fill="auto" w:val="clear"/>
          </w:rPr>
          <w:t>https://www.gov.br/compras/pt-br</w:t>
        </w:r>
      </w:hyperlink>
      <w:r>
        <w:rPr>
          <w:rFonts w:cs="Arial" w:ascii="Calibri" w:hAnsi="Calibri"/>
          <w:i w:val="false"/>
          <w:iCs w:val="false"/>
          <w:color w:val="000000"/>
          <w:sz w:val="24"/>
          <w:szCs w:val="24"/>
          <w:shd w:fill="auto" w:val="clear"/>
        </w:rPr>
        <w:t xml:space="preserve"> </w:t>
      </w:r>
    </w:p>
    <w:p>
      <w:pPr>
        <w:pStyle w:val="Normal"/>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
          <w:bCs/>
          <w:i w:val="false"/>
          <w:iCs w:val="false"/>
          <w:color w:val="000000"/>
          <w:sz w:val="24"/>
          <w:szCs w:val="24"/>
          <w:shd w:fill="auto" w:val="clear"/>
        </w:rPr>
        <w:t>Critério de Julgamento: menor preço/maior desconto por item/por grupo/global</w:t>
      </w:r>
    </w:p>
    <w:p>
      <w:pPr>
        <w:pStyle w:val="Normal"/>
        <w:spacing w:lineRule="auto" w:line="240" w:before="0" w:after="0"/>
        <w:contextualSpacing/>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2"/>
        </w:numPr>
        <w:spacing w:lineRule="auto" w:line="240" w:before="0" w:after="0"/>
        <w:contextualSpacing/>
        <w:rPr>
          <w:rFonts w:ascii="Calibri" w:hAnsi="Calibri"/>
          <w:i w:val="false"/>
          <w:i w:val="false"/>
          <w:iCs w:val="false"/>
          <w:color w:val="000000"/>
          <w:sz w:val="24"/>
          <w:szCs w:val="24"/>
          <w:shd w:fill="auto" w:val="clear"/>
        </w:rPr>
      </w:pPr>
      <w:bookmarkStart w:id="0" w:name="_Ref92815058"/>
      <w:r>
        <w:rPr>
          <w:rFonts w:cs="Arial" w:ascii="Calibri" w:hAnsi="Calibri"/>
          <w:i w:val="false"/>
          <w:iCs w:val="false"/>
          <w:color w:val="000000"/>
          <w:sz w:val="24"/>
          <w:szCs w:val="24"/>
          <w:shd w:fill="auto" w:val="clear"/>
        </w:rPr>
        <w:t>DO OBJETO</w:t>
      </w:r>
      <w:bookmarkEnd w:id="0"/>
    </w:p>
    <w:p>
      <w:pPr>
        <w:pStyle w:val="Normal"/>
        <w:numPr>
          <w:ilvl w:val="1"/>
          <w:numId w:val="244"/>
        </w:numPr>
        <w:spacing w:lineRule="auto" w:line="240" w:before="0" w:after="0"/>
        <w:ind w:left="425" w:hanging="0"/>
        <w:contextualSpacing/>
        <w:jc w:val="both"/>
        <w:rPr/>
      </w:pPr>
      <w:r>
        <w:rPr>
          <w:rFonts w:cs="Arial" w:ascii="Calibri" w:hAnsi="Calibri"/>
          <w:i w:val="false"/>
          <w:iCs w:val="false"/>
          <w:color w:val="000000"/>
          <w:sz w:val="24"/>
          <w:szCs w:val="24"/>
          <w:shd w:fill="auto" w:val="clear"/>
        </w:rPr>
        <w:t xml:space="preserve">O objeto da presente licitação é a escolha da proposta mais vantajosa para a aquisição de </w:t>
      </w:r>
      <w:r>
        <w:rPr>
          <w:rStyle w:val="Fontepargpadro"/>
          <w:rFonts w:eastAsia="Arial" w:cs="Arial" w:ascii="Calibri" w:hAnsi="Calibri"/>
          <w:bCs/>
          <w:i w:val="false"/>
          <w:iCs w:val="false"/>
          <w:color w:val="000000"/>
          <w:sz w:val="24"/>
          <w:szCs w:val="24"/>
          <w:shd w:fill="auto" w:val="clear"/>
        </w:rPr>
        <w:t>medicamentos especiais para assistência em saúde</w:t>
      </w:r>
      <w:r>
        <w:rPr>
          <w:rFonts w:cs="Arial" w:ascii="Calibri" w:hAnsi="Calibri"/>
          <w:b/>
          <w:i w:val="false"/>
          <w:iCs w:val="false"/>
          <w:color w:val="000000"/>
          <w:sz w:val="24"/>
          <w:szCs w:val="24"/>
          <w:shd w:fill="auto" w:val="clear"/>
        </w:rPr>
        <w:t>,</w:t>
      </w:r>
      <w:r>
        <w:rPr>
          <w:rFonts w:cs="Arial" w:ascii="Calibri" w:hAnsi="Calibri"/>
          <w:i w:val="false"/>
          <w:iCs w:val="false"/>
          <w:color w:val="000000"/>
          <w:sz w:val="24"/>
          <w:szCs w:val="24"/>
          <w:shd w:fill="auto" w:val="clear"/>
        </w:rPr>
        <w:t xml:space="preserve"> conforme condições, quantidades e exigências estabelecidas neste Edital e seus anexos.</w:t>
      </w:r>
    </w:p>
    <w:p>
      <w:pPr>
        <w:pStyle w:val="Normal"/>
        <w:numPr>
          <w:ilvl w:val="1"/>
          <w:numId w:val="245"/>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licitação será dividida em itens</w:t>
      </w:r>
      <w:r>
        <w:rPr>
          <w:rFonts w:cs="Arial" w:ascii="Calibri" w:hAnsi="Calibri"/>
          <w:b/>
          <w:i w:val="false"/>
          <w:iCs w:val="false"/>
          <w:color w:val="000000"/>
          <w:sz w:val="24"/>
          <w:szCs w:val="24"/>
          <w:shd w:fill="auto" w:val="clear"/>
        </w:rPr>
        <w:t>,</w:t>
      </w:r>
      <w:r>
        <w:rPr>
          <w:rFonts w:cs="Arial" w:ascii="Calibri" w:hAnsi="Calibri"/>
          <w:i w:val="false"/>
          <w:iCs w:val="false"/>
          <w:color w:val="000000"/>
          <w:sz w:val="24"/>
          <w:szCs w:val="24"/>
          <w:shd w:fill="auto" w:val="clear"/>
        </w:rPr>
        <w:t xml:space="preserve"> conforme tabela constante do Termo de Referência, facultando-se ao licitante a participação em quantos itens forem de seu interesse.</w:t>
      </w:r>
      <w:r>
        <w:rPr>
          <w:rFonts w:cs="Arial" w:ascii="Calibri" w:hAnsi="Calibri"/>
          <w:b/>
          <w:i w:val="false"/>
          <w:iCs w:val="false"/>
          <w:color w:val="000000"/>
          <w:sz w:val="24"/>
          <w:szCs w:val="24"/>
          <w:shd w:fill="auto" w:val="clear"/>
        </w:rPr>
        <w:t xml:space="preserve"> </w:t>
      </w:r>
    </w:p>
    <w:p>
      <w:pPr>
        <w:pStyle w:val="Normal"/>
        <w:numPr>
          <w:ilvl w:val="1"/>
          <w:numId w:val="246"/>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critério de julgamento adotado será o menor preço do item, observadas as exigências contidas neste Edital e seus Anexos quanto às especificações do objeto.</w:t>
      </w:r>
    </w:p>
    <w:p>
      <w:pPr>
        <w:pStyle w:val="Nivel01"/>
        <w:numPr>
          <w:ilvl w:val="0"/>
          <w:numId w:val="0"/>
        </w:numPr>
        <w:spacing w:lineRule="auto" w:line="240" w:before="0" w:after="0"/>
        <w:ind w:left="360" w:hanging="0"/>
        <w:contextualSpacing/>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p>
      <w:pPr>
        <w:pStyle w:val="Normal"/>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 xml:space="preserve">2.  DO REGISTRO DE PREÇOS </w:t>
      </w:r>
    </w:p>
    <w:p>
      <w:pPr>
        <w:pStyle w:val="Normal"/>
        <w:numPr>
          <w:ilvl w:val="1"/>
          <w:numId w:val="247"/>
        </w:numPr>
        <w:spacing w:lineRule="auto" w:line="240" w:before="0" w:after="0"/>
        <w:ind w:left="1141"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regras referentes aos órgãos gerenciador e participantes, bem como a eventuais adesões são as que constam da minuta de Ata de Registro de Preços</w:t>
      </w:r>
    </w:p>
    <w:p>
      <w:pPr>
        <w:pStyle w:val="Normal"/>
        <w:numPr>
          <w:ilvl w:val="0"/>
          <w:numId w:val="0"/>
        </w:numPr>
        <w:spacing w:lineRule="auto" w:line="240" w:before="0" w:after="0"/>
        <w:ind w:left="1708" w:hanging="0"/>
        <w:contextualSpacing/>
        <w:jc w:val="both"/>
        <w:rPr>
          <w:rFonts w:cs="Arial"/>
        </w:rPr>
      </w:pPr>
      <w:r>
        <w:rPr>
          <w:rFonts w:cs="Arial"/>
        </w:rPr>
      </w:r>
    </w:p>
    <w:p>
      <w:pPr>
        <w:pStyle w:val="Nivel01"/>
        <w:numPr>
          <w:ilvl w:val="0"/>
          <w:numId w:val="2"/>
        </w:numPr>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CREDENCIAMENTO</w:t>
      </w:r>
    </w:p>
    <w:p>
      <w:pPr>
        <w:pStyle w:val="Normal"/>
        <w:numPr>
          <w:ilvl w:val="1"/>
          <w:numId w:val="248"/>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Credenciamento é o nível básico do registro cadastral no SICAF, que permite a participação dos interessados na modalidade licitatória Pregão, em sua forma eletrônica.</w:t>
      </w:r>
    </w:p>
    <w:p>
      <w:pPr>
        <w:pStyle w:val="Normal"/>
        <w:numPr>
          <w:ilvl w:val="1"/>
          <w:numId w:val="249"/>
        </w:numPr>
        <w:spacing w:lineRule="auto" w:line="240" w:before="0" w:after="0"/>
        <w:ind w:left="425" w:hanging="0"/>
        <w:contextualSpacing/>
        <w:jc w:val="both"/>
        <w:rPr/>
      </w:pPr>
      <w:r>
        <w:rPr>
          <w:rFonts w:cs="Arial" w:ascii="Calibri" w:hAnsi="Calibri"/>
          <w:i w:val="false"/>
          <w:iCs w:val="false"/>
          <w:color w:val="000000" w:themeColor="text1"/>
          <w:sz w:val="24"/>
          <w:szCs w:val="24"/>
          <w:shd w:fill="auto" w:val="clear"/>
        </w:rPr>
        <w:t xml:space="preserve">O cadastro no SICAF deverá ser feito no Portal de Compras do Governo Federal, no </w:t>
      </w:r>
      <w:r>
        <w:rPr>
          <w:rFonts w:eastAsia="Times New Roman" w:cs="Arial" w:ascii="Calibri" w:hAnsi="Calibri"/>
          <w:i w:val="false"/>
          <w:iCs w:val="false"/>
          <w:color w:val="000000"/>
          <w:sz w:val="24"/>
          <w:szCs w:val="24"/>
          <w:shd w:fill="auto" w:val="clear"/>
        </w:rPr>
        <w:t xml:space="preserve">sítio </w:t>
      </w:r>
      <w:hyperlink r:id="rId3">
        <w:r>
          <w:rPr>
            <w:rFonts w:eastAsia="Times New Roman" w:cs="Arial" w:ascii="Calibri" w:hAnsi="Calibri"/>
            <w:i w:val="false"/>
            <w:iCs w:val="false"/>
            <w:color w:val="000000"/>
            <w:sz w:val="24"/>
            <w:szCs w:val="24"/>
            <w:u w:val="single"/>
            <w:shd w:fill="auto" w:val="clear"/>
          </w:rPr>
          <w:t>https://www.gov.br/compras/pt-br/</w:t>
        </w:r>
      </w:hyperlink>
      <w:r>
        <w:rPr>
          <w:rFonts w:eastAsia="Times New Roman" w:cs="Arial" w:ascii="Calibri" w:hAnsi="Calibri"/>
          <w:i w:val="false"/>
          <w:iCs w:val="false"/>
          <w:color w:val="000000"/>
          <w:sz w:val="24"/>
          <w:szCs w:val="24"/>
          <w:u w:val="single"/>
          <w:shd w:fill="auto" w:val="clear"/>
        </w:rPr>
        <w:t xml:space="preserve"> </w:t>
      </w:r>
      <w:r>
        <w:rPr>
          <w:rFonts w:cs="Arial" w:ascii="Calibri" w:hAnsi="Calibri"/>
          <w:i w:val="false"/>
          <w:iCs w:val="false"/>
          <w:color w:val="000000" w:themeColor="text1"/>
          <w:sz w:val="24"/>
          <w:szCs w:val="24"/>
          <w:shd w:fill="auto" w:val="clear"/>
        </w:rPr>
        <w:t>por meio de certificado digital conferido pela Infraestrutura de Chaves Públicas Brasileira – ICP - Brasil.</w:t>
      </w:r>
    </w:p>
    <w:p>
      <w:pPr>
        <w:pStyle w:val="Normal"/>
        <w:numPr>
          <w:ilvl w:val="1"/>
          <w:numId w:val="25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credenciamento junto ao provedor do sistema implica a responsabilidade do licitante ou de seu representante legal e a presunção de sua capacidade técnica para realização das transações inerentes a este Pregão.</w:t>
      </w:r>
    </w:p>
    <w:p>
      <w:pPr>
        <w:pStyle w:val="Normal"/>
        <w:numPr>
          <w:ilvl w:val="1"/>
          <w:numId w:val="251"/>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cs="Arial" w:ascii="Calibri" w:hAnsi="Calibri"/>
          <w:i w:val="false"/>
          <w:iCs w:val="false"/>
          <w:color w:val="000000" w:themeColor="text1"/>
          <w:sz w:val="24"/>
          <w:szCs w:val="24"/>
          <w:shd w:fill="auto" w:val="clear"/>
        </w:rPr>
        <w:t>.</w:t>
      </w:r>
    </w:p>
    <w:p>
      <w:pPr>
        <w:pStyle w:val="Normal"/>
        <w:numPr>
          <w:ilvl w:val="1"/>
          <w:numId w:val="25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numPr>
          <w:ilvl w:val="2"/>
          <w:numId w:val="25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não observância do disposto no subitem anterior poderá ensejar desclassificação no momento da habilitação.</w:t>
      </w:r>
    </w:p>
    <w:p>
      <w:pPr>
        <w:pStyle w:val="Normal"/>
        <w:numPr>
          <w:ilvl w:val="0"/>
          <w:numId w:val="0"/>
        </w:numPr>
        <w:spacing w:lineRule="auto" w:line="240" w:before="0" w:after="0"/>
        <w:ind w:left="1638" w:hanging="0"/>
        <w:contextualSpacing/>
        <w:jc w:val="both"/>
        <w:rPr>
          <w:rFonts w:cs="Arial"/>
        </w:rPr>
      </w:pPr>
      <w:r>
        <w:rPr>
          <w:rFonts w:cs="Arial"/>
        </w:rPr>
      </w:r>
    </w:p>
    <w:p>
      <w:pPr>
        <w:pStyle w:val="Nivel01"/>
        <w:numPr>
          <w:ilvl w:val="0"/>
          <w:numId w:val="2"/>
        </w:numPr>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PARTICIPAÇÃO NO PREGÃO.</w:t>
      </w:r>
    </w:p>
    <w:p>
      <w:pPr>
        <w:pStyle w:val="Normal"/>
        <w:numPr>
          <w:ilvl w:val="1"/>
          <w:numId w:val="254"/>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Poderão participar deste Pregão interessados</w:t>
      </w:r>
      <w:r>
        <w:rPr>
          <w:rFonts w:cs="Arial" w:ascii="Calibri" w:hAnsi="Calibri"/>
          <w:bCs/>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cujo ramo de atividade seja compatível com o objeto desta licitação, e que estejam com Credenciamento regular no Sistema de Cadastramento Unificado de Fornecedores – SICAF, conforme disposto no art. 9º da IN SEGES/MP nº 3, de 2018.</w:t>
      </w:r>
    </w:p>
    <w:p>
      <w:pPr>
        <w:pStyle w:val="Normal"/>
        <w:numPr>
          <w:ilvl w:val="2"/>
          <w:numId w:val="25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licitantes deverão utilizar o certificado digital para acesso ao Sistema.</w:t>
      </w:r>
    </w:p>
    <w:p>
      <w:pPr>
        <w:pStyle w:val="Normal"/>
        <w:numPr>
          <w:ilvl w:val="2"/>
          <w:numId w:val="25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Para os itens </w:t>
      </w:r>
      <w:r>
        <w:rPr>
          <w:rFonts w:cs="Arial" w:ascii="Calibri" w:hAnsi="Calibri"/>
          <w:i w:val="false"/>
          <w:iCs w:val="false"/>
          <w:color w:val="000000"/>
          <w:sz w:val="24"/>
          <w:szCs w:val="24"/>
          <w:shd w:fill="auto" w:val="clear"/>
          <w:lang w:eastAsia="pt-BR"/>
        </w:rPr>
        <w:t>1 ao 17</w:t>
      </w: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lang w:eastAsia="pt-BR"/>
        </w:rPr>
        <w:t>19 ao 26</w:t>
      </w:r>
      <w:r>
        <w:rPr>
          <w:rFonts w:cs="Arial" w:ascii="Calibri" w:hAnsi="Calibri"/>
          <w:i w:val="false"/>
          <w:iCs w:val="false"/>
          <w:color w:val="000000"/>
          <w:sz w:val="24"/>
          <w:szCs w:val="24"/>
          <w:shd w:fill="auto" w:val="clear"/>
        </w:rPr>
        <w:t>, 28 ao 41, 43, 45 ao 53, 56, 57, 59 ao 64, 69 ao 82, 84, 86, 87, 92 ao 94, 96 ao 100, 107, 111 ao 116, 120 a participação é exclusiva a microempresas e empresas de pequeno porte, nos termos do art. 48 da Lei Complementar nº 123, de 14 de dezembro de 2006.</w:t>
      </w:r>
    </w:p>
    <w:p>
      <w:pPr>
        <w:pStyle w:val="Normal"/>
        <w:numPr>
          <w:ilvl w:val="2"/>
          <w:numId w:val="25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Será concedido tratamento favorecido para as microempresas e empresas de pequeno porte, para as sociedades cooperativas </w:t>
      </w:r>
      <w:r>
        <w:rPr>
          <w:rFonts w:eastAsia="Times New Roman" w:cs="Arial" w:ascii="Calibri" w:hAnsi="Calibri"/>
          <w:i w:val="false"/>
          <w:iCs w:val="false"/>
          <w:color w:val="000000"/>
          <w:sz w:val="24"/>
          <w:szCs w:val="24"/>
          <w:shd w:fill="auto" w:val="clear"/>
        </w:rPr>
        <w:t xml:space="preserve">mencionadas no artigo 34 da Lei </w:t>
      </w:r>
      <w:r>
        <w:rPr>
          <w:rFonts w:cs="Arial" w:ascii="Calibri" w:hAnsi="Calibri"/>
          <w:i w:val="false"/>
          <w:iCs w:val="false"/>
          <w:color w:val="000000"/>
          <w:sz w:val="24"/>
          <w:szCs w:val="24"/>
          <w:shd w:fill="auto" w:val="clear"/>
        </w:rPr>
        <w:t>nº 11.488, de 2007, para o agricultor familiar, o produtor rural pessoa física e para o microempreendedor individual - MEI, nos limites previstos da Lei Complementar nº 123, de 2006.</w:t>
      </w:r>
    </w:p>
    <w:p>
      <w:pPr>
        <w:pStyle w:val="Normal"/>
        <w:numPr>
          <w:ilvl w:val="1"/>
          <w:numId w:val="258"/>
        </w:numPr>
        <w:snapToGrid w:val="false"/>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poderão participar desta licitação os interessados:</w:t>
      </w:r>
    </w:p>
    <w:p>
      <w:pPr>
        <w:pStyle w:val="Normal"/>
        <w:numPr>
          <w:ilvl w:val="2"/>
          <w:numId w:val="259"/>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proibidos de participar de licitações e celebrar contratos administrativos, na forma da legislação vigente;</w:t>
      </w:r>
    </w:p>
    <w:p>
      <w:pPr>
        <w:pStyle w:val="Normal"/>
        <w:numPr>
          <w:ilvl w:val="2"/>
          <w:numId w:val="260"/>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não atendam às condições deste Edital e seu(s) anexo(s);</w:t>
      </w:r>
    </w:p>
    <w:p>
      <w:pPr>
        <w:pStyle w:val="Normal"/>
        <w:numPr>
          <w:ilvl w:val="2"/>
          <w:numId w:val="261"/>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estrangeiros que não tenham representação legal no Brasil com poderes expressos para receber citação e responder administrativa ou judicialmente;</w:t>
      </w:r>
    </w:p>
    <w:p>
      <w:pPr>
        <w:pStyle w:val="Normal"/>
        <w:numPr>
          <w:ilvl w:val="2"/>
          <w:numId w:val="26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se enquadrem nas vedações previstas no artigo 9º da Lei nº 8.666, de 1993;</w:t>
      </w:r>
    </w:p>
    <w:p>
      <w:pPr>
        <w:pStyle w:val="Normal"/>
        <w:numPr>
          <w:ilvl w:val="2"/>
          <w:numId w:val="263"/>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 </w:t>
      </w:r>
      <w:bookmarkStart w:id="1" w:name="_Hlk519667653"/>
      <w:r>
        <w:rPr>
          <w:rFonts w:cs="Arial" w:ascii="Calibri" w:hAnsi="Calibri"/>
          <w:i w:val="false"/>
          <w:iCs w:val="false"/>
          <w:color w:val="000000"/>
          <w:sz w:val="24"/>
          <w:szCs w:val="24"/>
          <w:shd w:fill="auto" w:val="clear"/>
        </w:rPr>
        <w:t xml:space="preserve">que estejam sob falência, concurso de credores ou </w:t>
      </w:r>
      <w:r>
        <w:rPr>
          <w:rFonts w:cs="Arial" w:ascii="Calibri" w:hAnsi="Calibri"/>
          <w:i w:val="false"/>
          <w:iCs w:val="false"/>
          <w:color w:val="000000" w:themeColor="text1"/>
          <w:sz w:val="24"/>
          <w:szCs w:val="24"/>
          <w:shd w:fill="auto" w:val="clear"/>
        </w:rPr>
        <w:t xml:space="preserve">insolvência, </w:t>
      </w:r>
      <w:r>
        <w:rPr>
          <w:rFonts w:cs="Arial" w:ascii="Calibri" w:hAnsi="Calibri"/>
          <w:i w:val="false"/>
          <w:iCs w:val="false"/>
          <w:color w:val="000000"/>
          <w:sz w:val="24"/>
          <w:szCs w:val="24"/>
          <w:shd w:fill="auto" w:val="clear"/>
        </w:rPr>
        <w:t>em processo de dissolução ou liquidação;</w:t>
      </w:r>
      <w:bookmarkEnd w:id="1"/>
    </w:p>
    <w:p>
      <w:pPr>
        <w:pStyle w:val="Normal"/>
        <w:numPr>
          <w:ilvl w:val="2"/>
          <w:numId w:val="264"/>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entidades empresariais que estejam reunidas em consórcio;</w:t>
      </w:r>
    </w:p>
    <w:p>
      <w:pPr>
        <w:pStyle w:val="Normal"/>
        <w:numPr>
          <w:ilvl w:val="2"/>
          <w:numId w:val="265"/>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Organizações da Sociedade Civil de Interesse Público - OSCIP, atuando nessa condição (Acórdão nº 746/2014-TCU-Plenário;</w:t>
      </w:r>
    </w:p>
    <w:p>
      <w:pPr>
        <w:pStyle w:val="Normal"/>
        <w:numPr>
          <w:ilvl w:val="2"/>
          <w:numId w:val="266"/>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sociedades cooperativas, considerando a vedação contida no art. 10 da Instrução Normativa SEGES/MP nº 5, de 2017.</w:t>
      </w:r>
      <w:bookmarkStart w:id="2" w:name="_Hlk519667815"/>
      <w:bookmarkEnd w:id="2"/>
    </w:p>
    <w:p>
      <w:pPr>
        <w:pStyle w:val="Normal"/>
        <w:tabs>
          <w:tab w:val="clear" w:pos="708"/>
          <w:tab w:val="left" w:pos="1440" w:leader="none"/>
        </w:tabs>
        <w:snapToGrid w:val="false"/>
        <w:spacing w:lineRule="auto" w:line="240" w:before="0" w:after="0"/>
        <w:contextualSpacing/>
        <w:jc w:val="center"/>
        <w:rPr>
          <w:rFonts w:ascii="Calibri" w:hAnsi="Calibri" w:eastAsia="Arial" w:cs="Arial"/>
          <w:b/>
          <w:b/>
          <w:bCs/>
          <w:i w:val="false"/>
          <w:i w:val="false"/>
          <w:iCs w:val="false"/>
          <w:color w:val="000000"/>
          <w:sz w:val="24"/>
          <w:szCs w:val="24"/>
          <w:u w:val="single"/>
          <w:shd w:fill="auto" w:val="clear"/>
        </w:rPr>
      </w:pPr>
      <w:r>
        <w:rPr>
          <w:rFonts w:eastAsia="Arial" w:cs="Arial" w:ascii="Calibri" w:hAnsi="Calibri"/>
          <w:b/>
          <w:bCs/>
          <w:i w:val="false"/>
          <w:iCs w:val="false"/>
          <w:color w:val="000000"/>
          <w:sz w:val="24"/>
          <w:szCs w:val="24"/>
          <w:u w:val="single"/>
          <w:shd w:fill="auto" w:val="clear"/>
        </w:rPr>
      </w:r>
    </w:p>
    <w:p>
      <w:pPr>
        <w:pStyle w:val="Normal"/>
        <w:numPr>
          <w:ilvl w:val="1"/>
          <w:numId w:val="267"/>
        </w:numPr>
        <w:snapToGrid w:val="false"/>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Como condição para participação no Pregão, o licitante assinalará “sim” ou “não” em campo próprio do sistema eletrônico, relativo às seguintes declarações: </w:t>
      </w:r>
    </w:p>
    <w:p>
      <w:pPr>
        <w:pStyle w:val="Normal"/>
        <w:numPr>
          <w:ilvl w:val="2"/>
          <w:numId w:val="268"/>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que cumpre os requisitos estabelecidos no artigo 3° da Lei Complementar nº 123, de 2006, estando </w:t>
      </w:r>
      <w:r>
        <w:rPr>
          <w:rFonts w:cs="Arial" w:ascii="Calibri" w:hAnsi="Calibri"/>
          <w:i w:val="false"/>
          <w:iCs w:val="false"/>
          <w:color w:val="000000" w:themeColor="text1"/>
          <w:sz w:val="24"/>
          <w:szCs w:val="24"/>
          <w:shd w:fill="auto" w:val="clear"/>
        </w:rPr>
        <w:t xml:space="preserve">apto </w:t>
      </w:r>
      <w:r>
        <w:rPr>
          <w:rFonts w:cs="Arial" w:ascii="Calibri" w:hAnsi="Calibri"/>
          <w:i w:val="false"/>
          <w:iCs w:val="false"/>
          <w:color w:val="000000"/>
          <w:sz w:val="24"/>
          <w:szCs w:val="24"/>
          <w:shd w:fill="auto" w:val="clear"/>
        </w:rPr>
        <w:t xml:space="preserve">a usufruir do tratamento favorecido estabelecido em seus arts. 42 a 49; </w:t>
      </w:r>
    </w:p>
    <w:p>
      <w:pPr>
        <w:pStyle w:val="Normal"/>
        <w:numPr>
          <w:ilvl w:val="3"/>
          <w:numId w:val="269"/>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nos itens exclusivos para participação de microempresas e empresas de pequeno porte, a assinalação do campo “não” impedirá o prosseguimento no </w:t>
      </w:r>
      <w:r>
        <w:rPr>
          <w:rFonts w:eastAsia="Times New Roman" w:cs="Arial" w:ascii="Calibri" w:hAnsi="Calibri"/>
          <w:i w:val="false"/>
          <w:iCs w:val="false"/>
          <w:color w:val="000000"/>
          <w:sz w:val="24"/>
          <w:szCs w:val="24"/>
          <w:shd w:fill="auto" w:val="clear"/>
        </w:rPr>
        <w:t>certame;</w:t>
      </w:r>
    </w:p>
    <w:p>
      <w:pPr>
        <w:pStyle w:val="Normal"/>
        <w:numPr>
          <w:ilvl w:val="3"/>
          <w:numId w:val="270"/>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r>
        <w:rPr>
          <w:rFonts w:cs="Arial" w:ascii="Calibri" w:hAnsi="Calibri"/>
          <w:i w:val="false"/>
          <w:iCs w:val="false"/>
          <w:color w:val="000000" w:themeColor="text1"/>
          <w:sz w:val="24"/>
          <w:szCs w:val="24"/>
          <w:shd w:fill="auto" w:val="clear"/>
        </w:rPr>
        <w:t>.</w:t>
      </w:r>
    </w:p>
    <w:p>
      <w:pPr>
        <w:pStyle w:val="Normal"/>
        <w:numPr>
          <w:ilvl w:val="2"/>
          <w:numId w:val="271"/>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está ciente e concorda com as condições contidas no Edital e seus anexos;</w:t>
      </w:r>
    </w:p>
    <w:p>
      <w:pPr>
        <w:pStyle w:val="ListParagraph"/>
        <w:numPr>
          <w:ilvl w:val="2"/>
          <w:numId w:val="272"/>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         </w:t>
      </w:r>
      <w:r>
        <w:rPr>
          <w:rFonts w:cs="Arial" w:ascii="Calibri" w:hAnsi="Calibri"/>
          <w:i w:val="false"/>
          <w:iCs w:val="false"/>
          <w:color w:val="000000" w:themeColor="text1"/>
          <w:sz w:val="24"/>
          <w:szCs w:val="24"/>
          <w:shd w:fill="auto" w:val="clear"/>
        </w:rPr>
        <w:t xml:space="preserve">que cumpre os requisitos para a habilitação definidos no Edital e que a </w:t>
      </w:r>
      <w:r>
        <w:rPr>
          <w:rFonts w:cs="Arial" w:ascii="Calibri" w:hAnsi="Calibri"/>
          <w:i w:val="false"/>
          <w:iCs w:val="false"/>
          <w:color w:val="000000"/>
          <w:sz w:val="24"/>
          <w:szCs w:val="24"/>
          <w:shd w:fill="auto" w:val="clear"/>
        </w:rPr>
        <w:t>proposta apresentada está em conformidade com as exigências editalícias;</w:t>
      </w:r>
    </w:p>
    <w:p>
      <w:pPr>
        <w:pStyle w:val="Normal"/>
        <w:numPr>
          <w:ilvl w:val="2"/>
          <w:numId w:val="273"/>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que inexistem fatos impeditivos para sua habilitação no certame, ciente da obrigatoriedade de declarar ocorrências posteriores; </w:t>
      </w:r>
    </w:p>
    <w:p>
      <w:pPr>
        <w:pStyle w:val="Normal"/>
        <w:numPr>
          <w:ilvl w:val="2"/>
          <w:numId w:val="274"/>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não emprega menor de 18 anos em trabalho noturno, perigoso ou insalubre e não emprega menor de 16 anos, salvo menor, a partir de 14 anos, na condição de aprendiz, nos termos do artigo 7°, XXXIII, da Constituição;</w:t>
      </w:r>
      <w:r>
        <w:rPr>
          <w:rFonts w:cs="Arial" w:ascii="Calibri" w:hAnsi="Calibri"/>
          <w:bCs/>
          <w:i w:val="false"/>
          <w:iCs w:val="false"/>
          <w:color w:val="000000"/>
          <w:sz w:val="24"/>
          <w:szCs w:val="24"/>
          <w:shd w:fill="auto" w:val="clear"/>
        </w:rPr>
        <w:t xml:space="preserve"> </w:t>
      </w:r>
    </w:p>
    <w:p>
      <w:pPr>
        <w:pStyle w:val="Normal"/>
        <w:numPr>
          <w:ilvl w:val="2"/>
          <w:numId w:val="275"/>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a proposta foi elaborada de forma independente;</w:t>
      </w:r>
    </w:p>
    <w:p>
      <w:pPr>
        <w:pStyle w:val="Normal"/>
        <w:numPr>
          <w:ilvl w:val="2"/>
          <w:numId w:val="276"/>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não possui, em sua cadeia produtiva, empregados executando trabalho degradante ou forçado, observando o disposto nos incisos III e IV do art. 1º e no inciso III do art. 5º da Constituição Federal;</w:t>
      </w:r>
    </w:p>
    <w:p>
      <w:pPr>
        <w:pStyle w:val="Normal"/>
        <w:numPr>
          <w:ilvl w:val="2"/>
          <w:numId w:val="277"/>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que o objeto é prestado por empresas que comprovem cumprimento de</w:t>
      </w:r>
      <w:r>
        <w:rPr>
          <w:rFonts w:cs="Arial" w:ascii="Calibri" w:hAnsi="Calibri"/>
          <w:bCs/>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 xml:space="preserve"> reserva de cargos prevista em lei para pessoa com deficiência ou para reabilitado da Previdência Social e que atendam às regras de acessibilidade previstas na legislação, conforme disposto no art. 93 da Lei nº 8.213, de 24 de julho de</w:t>
      </w:r>
      <w:r>
        <w:rPr>
          <w:rFonts w:eastAsia="Times New Roman"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1991.</w:t>
      </w:r>
    </w:p>
    <w:p>
      <w:pPr>
        <w:pStyle w:val="Normal"/>
        <w:numPr>
          <w:ilvl w:val="1"/>
          <w:numId w:val="278"/>
        </w:numPr>
        <w:snapToGrid w:val="false"/>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declaração falsa relativa ao cumprimento de qualquer condição sujeitará o licitante às sanções previstas em lei e neste Edital.</w:t>
      </w:r>
    </w:p>
    <w:p>
      <w:pPr>
        <w:pStyle w:val="Normal"/>
        <w:numPr>
          <w:ilvl w:val="0"/>
          <w:numId w:val="0"/>
        </w:numPr>
        <w:snapToGrid w:val="false"/>
        <w:spacing w:lineRule="auto" w:line="240" w:before="0" w:after="0"/>
        <w:ind w:left="1424" w:hanging="0"/>
        <w:contextualSpacing/>
        <w:jc w:val="both"/>
        <w:rPr>
          <w:rFonts w:cs="Arial"/>
        </w:rPr>
      </w:pPr>
      <w:r>
        <w:rPr>
          <w:rFonts w:cs="Arial"/>
        </w:rPr>
      </w:r>
    </w:p>
    <w:p>
      <w:pPr>
        <w:pStyle w:val="Nivel01"/>
        <w:numPr>
          <w:ilvl w:val="0"/>
          <w:numId w:val="2"/>
        </w:numPr>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APRESENTAÇÃO DA PROPOSTA E DOS DOCUMENTOS DE HABILITAÇÃO</w:t>
      </w:r>
    </w:p>
    <w:p>
      <w:pPr>
        <w:pStyle w:val="Normal"/>
        <w:numPr>
          <w:ilvl w:val="1"/>
          <w:numId w:val="279"/>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Os licitantes </w:t>
      </w:r>
      <w:r>
        <w:rPr>
          <w:rFonts w:cs="Arial" w:ascii="Calibri" w:hAnsi="Calibri"/>
          <w:i w:val="false"/>
          <w:iCs w:val="false"/>
          <w:color w:val="000000"/>
          <w:sz w:val="24"/>
          <w:szCs w:val="24"/>
          <w:shd w:fill="auto" w:val="clear"/>
        </w:rPr>
        <w:t>encaminharão, exclusivamente por meio do sistema, concomitantemente com os documentos de habilitação exigidos no edital, proposta com a descrição do objeto ofertado e o preço, até a data e o horário estabelecidos para abertura da sessão pública</w:t>
      </w:r>
      <w:r>
        <w:rPr>
          <w:rFonts w:cs="Arial" w:ascii="Calibri" w:hAnsi="Calibri"/>
          <w:i w:val="false"/>
          <w:iCs w:val="false"/>
          <w:color w:val="000000" w:themeColor="text1"/>
          <w:sz w:val="24"/>
          <w:szCs w:val="24"/>
          <w:shd w:fill="auto" w:val="clear"/>
        </w:rPr>
        <w:t xml:space="preserve">, quando, então, encerrar-se-á automaticamente a etapa de envio dessa documentação. </w:t>
      </w:r>
    </w:p>
    <w:p>
      <w:pPr>
        <w:pStyle w:val="Normal"/>
        <w:numPr>
          <w:ilvl w:val="1"/>
          <w:numId w:val="28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envio da proposta, acompanhada dos documentos de habilitação exigidos neste Edital, ocorrerá por meio de chave de acesso e senha.</w:t>
      </w:r>
    </w:p>
    <w:p>
      <w:pPr>
        <w:pStyle w:val="Normal"/>
        <w:numPr>
          <w:ilvl w:val="1"/>
          <w:numId w:val="281"/>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Os licitantes poderão deixar de apresentar os documentos de habilitação que constem do SICAF, assegurado aos demais licitantes o direito de acesso aos dados constantes dos sistemas.</w:t>
      </w:r>
    </w:p>
    <w:p>
      <w:pPr>
        <w:pStyle w:val="Normal"/>
        <w:numPr>
          <w:ilvl w:val="1"/>
          <w:numId w:val="28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pPr>
        <w:pStyle w:val="Normal"/>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Até a abertura da sessão pública, os licitantes poderão retirar ou substituir a proposta e os documentos de habilitação anteriormente inseridos no sistema;</w:t>
      </w:r>
    </w:p>
    <w:p>
      <w:pPr>
        <w:pStyle w:val="Normal"/>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documentos que compõem a proposta e a habilitação do licitante melhor classificado somente serão disponibilizados para avaliação do pregoeiro e para acesso público após o encerramento do envio de lances.</w:t>
      </w:r>
    </w:p>
    <w:p>
      <w:pPr>
        <w:pStyle w:val="Normal"/>
        <w:spacing w:lineRule="auto" w:line="240" w:before="0" w:after="0"/>
        <w:ind w:left="425" w:hanging="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p>
      <w:pPr>
        <w:pStyle w:val="Nivel01"/>
        <w:numPr>
          <w:ilvl w:val="0"/>
          <w:numId w:val="2"/>
        </w:numPr>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PREENCHIMENTO DA PROPOSTA</w:t>
      </w:r>
    </w:p>
    <w:p>
      <w:pPr>
        <w:pStyle w:val="Normal"/>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licitante deverá enviar sua proposta mediante o preenchimento, no sistema eletrônico, dos seguintes campos:</w:t>
      </w:r>
    </w:p>
    <w:p>
      <w:pPr>
        <w:pStyle w:val="Normal"/>
        <w:numPr>
          <w:ilvl w:val="2"/>
          <w:numId w:val="283"/>
        </w:numPr>
        <w:spacing w:lineRule="auto" w:line="240" w:before="0" w:after="0"/>
        <w:ind w:left="1922" w:hanging="504"/>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valor unitário, total do item;</w:t>
      </w:r>
    </w:p>
    <w:p>
      <w:pPr>
        <w:pStyle w:val="Normal"/>
        <w:numPr>
          <w:ilvl w:val="2"/>
          <w:numId w:val="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Marca;</w:t>
      </w:r>
    </w:p>
    <w:p>
      <w:pPr>
        <w:pStyle w:val="Normal"/>
        <w:numPr>
          <w:ilvl w:val="2"/>
          <w:numId w:val="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 xml:space="preserve">Fabricante; </w:t>
      </w:r>
    </w:p>
    <w:p>
      <w:pPr>
        <w:pStyle w:val="Normal"/>
        <w:numPr>
          <w:ilvl w:val="2"/>
          <w:numId w:val="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Descrição do objeto, contendo as informações similares à especificação do Termo de Referência; </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Todas as especificações do objeto contidas na proposta vinculam a Contratada.</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Nos valores propostos estarão inclusos todos os custos operacionais, encargos previdenciários, trabalhistas, tributários, comerciais e quaisquer outros que incidam direta ou indiretamente no fornecimento dos bens.</w:t>
      </w:r>
    </w:p>
    <w:p>
      <w:pPr>
        <w:pStyle w:val="ListParagraph"/>
        <w:numPr>
          <w:ilvl w:val="2"/>
          <w:numId w:val="2"/>
        </w:numPr>
        <w:spacing w:lineRule="auto" w:line="240" w:before="0" w:after="0"/>
        <w:ind w:left="425" w:hanging="0"/>
        <w:contextualSpacing/>
        <w:jc w:val="both"/>
        <w:rPr>
          <w:rFonts w:ascii="Calibri" w:hAnsi="Calibri"/>
          <w:color w:val="000000"/>
          <w:sz w:val="24"/>
          <w:szCs w:val="24"/>
        </w:rPr>
      </w:pPr>
      <w:r>
        <w:rPr>
          <w:rFonts w:cs="Cambria" w:ascii="Cambria" w:hAnsi="Cambria" w:asciiTheme="minorHAnsi" w:cstheme="minorHAnsi" w:hAnsiTheme="minorHAnsi"/>
          <w:i w:val="false"/>
          <w:iCs w:val="false"/>
          <w:color w:val="000000"/>
          <w:sz w:val="24"/>
          <w:szCs w:val="24"/>
          <w:shd w:fill="FFFFFF" w:val="clear"/>
        </w:rPr>
        <w:t xml:space="preserve">Itens que deverão conter </w:t>
      </w:r>
      <w:r>
        <w:rPr>
          <w:rFonts w:cs="Cambria" w:ascii="Cambria" w:hAnsi="Cambria" w:asciiTheme="minorHAnsi" w:cstheme="minorHAnsi" w:hAnsiTheme="minorHAnsi"/>
          <w:i w:val="false"/>
          <w:iCs w:val="false"/>
          <w:color w:val="000000"/>
          <w:sz w:val="24"/>
          <w:szCs w:val="24"/>
          <w:shd w:fill="auto" w:val="clear"/>
        </w:rPr>
        <w:t>a desoneração do ICMS (</w:t>
      </w:r>
      <w:r>
        <w:rPr>
          <w:rFonts w:cs="Cambria" w:ascii="Cambria" w:hAnsi="Cambria" w:asciiTheme="minorHAnsi" w:cstheme="minorHAnsi" w:hAnsiTheme="minorHAnsi"/>
          <w:i w:val="false"/>
          <w:iCs w:val="false"/>
          <w:color w:val="000000"/>
          <w:sz w:val="24"/>
          <w:szCs w:val="24"/>
          <w:shd w:fill="FFFFFF" w:val="clear"/>
        </w:rPr>
        <w:t>isenção do ICMS nas operações com fármacos e medicamentos destinados a órgãos da Administração Pública Direta Federal, Estadual e Municipal</w:t>
      </w:r>
      <w:r>
        <w:rPr>
          <w:rFonts w:cs="Cambria" w:ascii="Cambria" w:hAnsi="Cambria" w:asciiTheme="minorHAnsi" w:cstheme="minorHAnsi" w:hAnsiTheme="minorHAnsi"/>
          <w:i w:val="false"/>
          <w:iCs w:val="false"/>
          <w:color w:val="000000"/>
          <w:sz w:val="24"/>
          <w:szCs w:val="24"/>
          <w:shd w:fill="auto" w:val="clear"/>
        </w:rPr>
        <w:t>) conforme medicamentos constantes na lista do Convênio CONFAZ 87/02: 4, 5, 6, 7, 8, 10, 11, 17, 20, 21, 22, 25, 26, 33, 49, 52, 54, 55, 61, 63, 70, 71, 76, 80, 84, 91, 92, 93, 94, 95, 96, 97, 98, 99, 100, 106, 118, 119 e 121.</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prazo de validade da proposta não será inferior a </w:t>
      </w:r>
      <w:r>
        <w:rPr>
          <w:rFonts w:cs="Arial" w:ascii="Calibri" w:hAnsi="Calibri"/>
          <w:i w:val="false"/>
          <w:iCs w:val="false"/>
          <w:color w:val="000000"/>
          <w:sz w:val="24"/>
          <w:szCs w:val="24"/>
          <w:shd w:fill="auto" w:val="clear"/>
          <w:lang w:eastAsia="pt-BR"/>
        </w:rPr>
        <w:t>60</w:t>
      </w:r>
      <w:r>
        <w:rPr>
          <w:rFonts w:cs="Arial" w:ascii="Calibri" w:hAnsi="Calibri"/>
          <w:i w:val="false"/>
          <w:iCs w:val="false"/>
          <w:color w:val="000000"/>
          <w:sz w:val="24"/>
          <w:szCs w:val="24"/>
          <w:shd w:fill="auto" w:val="clear"/>
        </w:rPr>
        <w:t xml:space="preserve"> (sessenta dias) dias</w:t>
      </w:r>
      <w:r>
        <w:rPr>
          <w:rFonts w:cs="Arial" w:ascii="Calibri" w:hAnsi="Calibri"/>
          <w:b/>
          <w:i w:val="false"/>
          <w:iCs w:val="false"/>
          <w:color w:val="000000"/>
          <w:sz w:val="24"/>
          <w:szCs w:val="24"/>
          <w:shd w:fill="auto" w:val="clear"/>
        </w:rPr>
        <w:t>,</w:t>
      </w:r>
      <w:r>
        <w:rPr>
          <w:rFonts w:cs="Arial" w:ascii="Calibri" w:hAnsi="Calibri"/>
          <w:i w:val="false"/>
          <w:iCs w:val="false"/>
          <w:color w:val="000000"/>
          <w:sz w:val="24"/>
          <w:szCs w:val="24"/>
          <w:shd w:fill="auto" w:val="clear"/>
        </w:rPr>
        <w:t xml:space="preserve"> a contar da data de sua apresentação. </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licitantes devem respeitar os preços máximos estabelecidos nas normas de regência de contratações públicas federais, quando participarem de licitações públicas;</w:t>
      </w:r>
    </w:p>
    <w:p>
      <w:pPr>
        <w:pStyle w:val="Normal"/>
        <w:numPr>
          <w:ilvl w:val="2"/>
          <w:numId w:val="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descumprimento das regras supramencionadas pela Administração por parte dos contratados pode ensejar a </w:t>
      </w:r>
      <w:r>
        <w:rPr>
          <w:rFonts w:cs="Arial" w:ascii="Calibri" w:hAnsi="Calibri"/>
          <w:i w:val="false"/>
          <w:iCs w:val="false"/>
          <w:color w:val="000000" w:themeColor="text1"/>
          <w:sz w:val="24"/>
          <w:szCs w:val="24"/>
          <w:shd w:fill="auto" w:val="clear"/>
        </w:rPr>
        <w:t>responsabilização pelo</w:t>
      </w:r>
      <w:r>
        <w:rPr>
          <w:rFonts w:cs="Arial" w:ascii="Calibri" w:hAnsi="Calibri"/>
          <w:i w:val="false"/>
          <w:iCs w:val="false"/>
          <w:color w:val="000000"/>
          <w:sz w:val="24"/>
          <w:szCs w:val="24"/>
          <w:shd w:fill="auto" w:val="clear"/>
        </w:rPr>
        <w:t xml:space="preserve">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numPr>
          <w:ilvl w:val="0"/>
          <w:numId w:val="0"/>
        </w:numPr>
        <w:spacing w:lineRule="auto" w:line="240" w:before="0" w:after="0"/>
        <w:ind w:left="1638" w:hanging="0"/>
        <w:contextualSpacing/>
        <w:jc w:val="both"/>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DA ABERTURA DA SESSÃO, CLASSIFICAÇÃO DAS PROPOSTAS E FORMULAÇÃO DE LANCES </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abertura da presente licitação dar-se-á em sessão pública, por meio de sistema eletrônico, na data, horário e local indicados neste Edital.</w:t>
      </w:r>
    </w:p>
    <w:p>
      <w:pPr>
        <w:pStyle w:val="ListParagraph"/>
        <w:numPr>
          <w:ilvl w:val="1"/>
          <w:numId w:val="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Pregoeiro verificará as propostas apresentadas, desclassificando desde logo aquelas que não estejam em conformidade com os requisitos estabelecidos neste Edital, contenham vícios insanáveis, </w:t>
      </w:r>
      <w:r>
        <w:rPr>
          <w:rFonts w:cs="Arial" w:ascii="Calibri" w:hAnsi="Calibri"/>
          <w:i w:val="false"/>
          <w:iCs w:val="false"/>
          <w:color w:val="000000" w:themeColor="text1"/>
          <w:sz w:val="24"/>
          <w:szCs w:val="24"/>
          <w:shd w:fill="auto" w:val="clear"/>
        </w:rPr>
        <w:t>ilegalidades</w:t>
      </w:r>
      <w:r>
        <w:rPr>
          <w:rFonts w:cs="Arial" w:ascii="Calibri" w:hAnsi="Calibri"/>
          <w:i w:val="false"/>
          <w:iCs w:val="false"/>
          <w:color w:val="000000"/>
          <w:sz w:val="24"/>
          <w:szCs w:val="24"/>
          <w:shd w:fill="auto" w:val="clear"/>
        </w:rPr>
        <w:t xml:space="preserve"> ou não apresentem as especificações exigidas no Termo de Referência. </w:t>
      </w:r>
    </w:p>
    <w:p>
      <w:pPr>
        <w:pStyle w:val="Normal"/>
        <w:numPr>
          <w:ilvl w:val="2"/>
          <w:numId w:val="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Também será desclassificada a proposta que identifique o licitante.</w:t>
      </w:r>
    </w:p>
    <w:p>
      <w:pPr>
        <w:pStyle w:val="Normal"/>
        <w:numPr>
          <w:ilvl w:val="2"/>
          <w:numId w:val="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desclassificação será sempre fundamentada e registrada no sistema, com acompanhamento em tempo real por todos os participantes.</w:t>
      </w:r>
    </w:p>
    <w:p>
      <w:pPr>
        <w:pStyle w:val="Normal"/>
        <w:numPr>
          <w:ilvl w:val="2"/>
          <w:numId w:val="2"/>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não desclassificação da proposta não impede o seu julgamento definitivo em sentido contrário, levado a efeito na fase de aceitação.</w:t>
      </w:r>
    </w:p>
    <w:p>
      <w:pPr>
        <w:pStyle w:val="Normal"/>
        <w:numPr>
          <w:ilvl w:val="1"/>
          <w:numId w:val="2"/>
        </w:numPr>
        <w:spacing w:lineRule="auto" w:line="240" w:before="0" w:after="0"/>
        <w:ind w:left="425"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sistema ordenará automaticamente as propostas classificadas, sendo que somente estas participarão da fase de lances.</w:t>
      </w:r>
    </w:p>
    <w:p>
      <w:pPr>
        <w:pStyle w:val="Normal"/>
        <w:numPr>
          <w:ilvl w:val="1"/>
          <w:numId w:val="2"/>
        </w:numPr>
        <w:spacing w:lineRule="auto" w:line="240" w:before="0" w:after="0"/>
        <w:ind w:left="425"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sistema disponibilizará campo próprio para troca de mensagens entre o Pregoeiro e os licitantes.</w:t>
      </w:r>
    </w:p>
    <w:p>
      <w:pPr>
        <w:pStyle w:val="Normal"/>
        <w:numPr>
          <w:ilvl w:val="1"/>
          <w:numId w:val="2"/>
        </w:numPr>
        <w:spacing w:lineRule="auto" w:line="240" w:before="0" w:after="0"/>
        <w:ind w:left="425"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 xml:space="preserve">Iniciada a etapa competitiva, os licitantes deverão encaminhar lances exclusivamente por meio </w:t>
      </w:r>
      <w:r>
        <w:rPr>
          <w:rFonts w:cs="Arial" w:ascii="Calibri" w:hAnsi="Calibri"/>
          <w:i w:val="false"/>
          <w:iCs w:val="false"/>
          <w:color w:val="000000" w:themeColor="text1"/>
          <w:sz w:val="24"/>
          <w:szCs w:val="24"/>
          <w:shd w:fill="auto" w:val="clear"/>
        </w:rPr>
        <w:t>de</w:t>
      </w:r>
      <w:r>
        <w:rPr>
          <w:rFonts w:cs="Arial" w:ascii="Calibri" w:hAnsi="Calibri"/>
          <w:i w:val="false"/>
          <w:iCs w:val="false"/>
          <w:color w:val="000000"/>
          <w:sz w:val="24"/>
          <w:szCs w:val="24"/>
          <w:shd w:fill="auto" w:val="clear"/>
        </w:rPr>
        <w:t xml:space="preserve"> sistema eletrônico, sendo imediatamente informados do seu recebimento e do valor consignado no registro. </w:t>
      </w:r>
    </w:p>
    <w:p>
      <w:pPr>
        <w:pStyle w:val="Normal"/>
        <w:numPr>
          <w:ilvl w:val="2"/>
          <w:numId w:val="2"/>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lance deverá ser ofertado pelo valor unitário do item.</w:t>
      </w:r>
    </w:p>
    <w:p>
      <w:pPr>
        <w:pStyle w:val="Normal"/>
        <w:numPr>
          <w:ilvl w:val="1"/>
          <w:numId w:val="2"/>
        </w:numPr>
        <w:spacing w:lineRule="auto" w:line="240" w:before="0" w:after="0"/>
        <w:ind w:left="425"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licitantes poderão oferecer lances sucessivos, observando o horário fixado para abertura da sessão e as regras estabelecidas no Edital.</w:t>
      </w:r>
    </w:p>
    <w:p>
      <w:pPr>
        <w:pStyle w:val="Normal"/>
        <w:numPr>
          <w:ilvl w:val="1"/>
          <w:numId w:val="2"/>
        </w:numPr>
        <w:spacing w:lineRule="auto" w:line="240" w:before="0" w:after="0"/>
        <w:ind w:left="425"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licitante somente poderá oferecer lance de valor inferior ou percentual de desconto superior ao último por ele ofertado e registrado pelo sistema.</w:t>
      </w:r>
    </w:p>
    <w:p>
      <w:pPr>
        <w:pStyle w:val="Normal"/>
        <w:numPr>
          <w:ilvl w:val="1"/>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Será adotado para o envio de lances no pregão eletrônico o modo de disputa “aberto e fechado”, em que os licitantes apresentarão lances públicos e sucessivos, com lance final e fechado.</w:t>
      </w:r>
    </w:p>
    <w:p>
      <w:pPr>
        <w:pStyle w:val="Normal"/>
        <w:numPr>
          <w:ilvl w:val="1"/>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Normal"/>
        <w:numPr>
          <w:ilvl w:val="1"/>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numPr>
          <w:ilvl w:val="2"/>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numPr>
          <w:ilvl w:val="1"/>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Após o término dos prazos estabelecidos nos itens anteriores, o sistema ordenará os lances segundo a ordem crescente de valores.</w:t>
      </w:r>
    </w:p>
    <w:p>
      <w:pPr>
        <w:pStyle w:val="Normal"/>
        <w:numPr>
          <w:ilvl w:val="2"/>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pPr>
        <w:pStyle w:val="Normal"/>
        <w:numPr>
          <w:ilvl w:val="1"/>
          <w:numId w:val="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Poderá o pregoeiro, auxiliado pela equipe de apoio, justificadamente, admitir o reinício da etapa fechada, caso nenhum licitante classificado na etapa de lance fechado atender às exigências de habilitação.</w:t>
      </w:r>
    </w:p>
    <w:p>
      <w:pPr>
        <w:pStyle w:val="ListParagraph"/>
        <w:numPr>
          <w:ilvl w:val="1"/>
          <w:numId w:val="28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Não serão aceitos dois ou mais lances de mesmo valor, prevalecendo aquele que for recebido e registrado em primeiro lugar. </w:t>
      </w:r>
    </w:p>
    <w:p>
      <w:pPr>
        <w:pStyle w:val="ListParagraph"/>
        <w:numPr>
          <w:ilvl w:val="1"/>
          <w:numId w:val="28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Durante o transcurso da sessão pública, os licitantes serão informados, em tempo real, do valor do menor lance registrado, vedada a identificação do licitante. </w:t>
      </w:r>
    </w:p>
    <w:p>
      <w:pPr>
        <w:pStyle w:val="ListParagraph"/>
        <w:numPr>
          <w:ilvl w:val="1"/>
          <w:numId w:val="28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No caso de desconexão com o Pregoeiro, no decorrer da etapa competitiva do Pregão, o sistema eletrônico poderá permanecer acessível aos licitantes para a recepção dos lances. </w:t>
      </w:r>
    </w:p>
    <w:p>
      <w:pPr>
        <w:pStyle w:val="ListParagraph"/>
        <w:numPr>
          <w:ilvl w:val="1"/>
          <w:numId w:val="28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cs="Arial" w:ascii="Calibri" w:hAnsi="Calibri"/>
          <w:i w:val="false"/>
          <w:iCs w:val="false"/>
          <w:color w:val="000000" w:themeColor="text1"/>
          <w:sz w:val="24"/>
          <w:szCs w:val="24"/>
          <w:shd w:fill="auto" w:val="clear"/>
        </w:rPr>
        <w:t>.</w:t>
      </w:r>
      <w:r>
        <w:rPr>
          <w:rFonts w:cs="Arial" w:ascii="Calibri" w:hAnsi="Calibri"/>
          <w:i w:val="false"/>
          <w:iCs w:val="false"/>
          <w:color w:val="000000"/>
          <w:sz w:val="24"/>
          <w:szCs w:val="24"/>
          <w:shd w:fill="auto" w:val="clear"/>
        </w:rPr>
        <w:t xml:space="preserve"> </w:t>
      </w:r>
    </w:p>
    <w:p>
      <w:pPr>
        <w:pStyle w:val="ListParagraph"/>
        <w:numPr>
          <w:ilvl w:val="1"/>
          <w:numId w:val="28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w:t>
      </w:r>
      <w:r>
        <w:rPr>
          <w:rFonts w:cs="Arial" w:ascii="Calibri" w:hAnsi="Calibri"/>
          <w:i w:val="false"/>
          <w:iCs w:val="false"/>
          <w:color w:val="000000" w:themeColor="text1"/>
          <w:sz w:val="24"/>
          <w:szCs w:val="24"/>
          <w:shd w:fill="auto" w:val="clear"/>
        </w:rPr>
        <w:t>critério</w:t>
      </w:r>
      <w:r>
        <w:rPr>
          <w:rFonts w:cs="Arial" w:ascii="Calibri" w:hAnsi="Calibri"/>
          <w:i w:val="false"/>
          <w:iCs w:val="false"/>
          <w:color w:val="000000"/>
          <w:sz w:val="24"/>
          <w:szCs w:val="24"/>
          <w:shd w:fill="auto" w:val="clear"/>
        </w:rPr>
        <w:t xml:space="preserve"> de julgamento adotado será o menor preço, conforme definido neste Edital e seus anexos. </w:t>
      </w:r>
    </w:p>
    <w:p>
      <w:pPr>
        <w:pStyle w:val="ListParagraph"/>
        <w:numPr>
          <w:ilvl w:val="1"/>
          <w:numId w:val="28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Caso o licitante não apresente </w:t>
      </w:r>
      <w:r>
        <w:rPr>
          <w:rFonts w:cs="Arial" w:ascii="Calibri" w:hAnsi="Calibri"/>
          <w:i w:val="false"/>
          <w:iCs w:val="false"/>
          <w:color w:val="000000"/>
          <w:sz w:val="24"/>
          <w:szCs w:val="24"/>
          <w:shd w:fill="auto" w:val="clear"/>
        </w:rPr>
        <w:t>lances</w:t>
      </w:r>
      <w:r>
        <w:rPr>
          <w:rFonts w:cs="Arial" w:ascii="Calibri" w:hAnsi="Calibri"/>
          <w:i w:val="false"/>
          <w:iCs w:val="false"/>
          <w:color w:val="000000" w:themeColor="text1"/>
          <w:sz w:val="24"/>
          <w:szCs w:val="24"/>
          <w:shd w:fill="auto" w:val="clear"/>
        </w:rPr>
        <w:t>, concorrerá com o valor de sua proposta.</w:t>
      </w:r>
    </w:p>
    <w:p>
      <w:pPr>
        <w:pStyle w:val="ListParagraph"/>
        <w:numPr>
          <w:ilvl w:val="1"/>
          <w:numId w:val="29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ListParagraph"/>
        <w:numPr>
          <w:ilvl w:val="1"/>
          <w:numId w:val="29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Nessas condições, as propostas de microempresas e empresas de pequeno porte que se encontrarem na faixa de até 5% (cinco por cento) acima da </w:t>
      </w:r>
      <w:r>
        <w:rPr>
          <w:rFonts w:cs="Arial" w:ascii="Calibri" w:hAnsi="Calibri"/>
          <w:i w:val="false"/>
          <w:iCs w:val="false"/>
          <w:color w:val="000000" w:themeColor="text1"/>
          <w:sz w:val="24"/>
          <w:szCs w:val="24"/>
          <w:shd w:fill="auto" w:val="clear"/>
        </w:rPr>
        <w:t>melhor proposta ou melhor lance</w:t>
      </w:r>
      <w:r>
        <w:rPr>
          <w:rFonts w:cs="Arial" w:ascii="Calibri" w:hAnsi="Calibri"/>
          <w:i w:val="false"/>
          <w:iCs w:val="false"/>
          <w:color w:val="000000"/>
          <w:sz w:val="24"/>
          <w:szCs w:val="24"/>
          <w:shd w:fill="auto" w:val="clear"/>
          <w:lang w:eastAsia="en-US"/>
        </w:rPr>
        <w:t xml:space="preserve"> </w:t>
      </w:r>
      <w:r>
        <w:rPr>
          <w:rFonts w:cs="Arial" w:ascii="Calibri" w:hAnsi="Calibri"/>
          <w:i w:val="false"/>
          <w:iCs w:val="false"/>
          <w:color w:val="000000"/>
          <w:sz w:val="24"/>
          <w:szCs w:val="24"/>
          <w:shd w:fill="auto" w:val="clear"/>
        </w:rPr>
        <w:t>serão consideradas empatadas com a primeira colocada.</w:t>
      </w:r>
    </w:p>
    <w:p>
      <w:pPr>
        <w:pStyle w:val="ListParagraph"/>
        <w:numPr>
          <w:ilvl w:val="1"/>
          <w:numId w:val="29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ListParagraph"/>
        <w:numPr>
          <w:ilvl w:val="1"/>
          <w:numId w:val="29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ListParagraph"/>
        <w:numPr>
          <w:ilvl w:val="1"/>
          <w:numId w:val="29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1"/>
          <w:numId w:val="29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Só poderá haver empate entre propostas iguais (não seguidas de lances), ou entre lances finais da fase fechada do modo de disputa aberto e fechado. </w:t>
      </w:r>
    </w:p>
    <w:p>
      <w:pPr>
        <w:pStyle w:val="ListParagraph"/>
        <w:numPr>
          <w:ilvl w:val="1"/>
          <w:numId w:val="29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Havendo </w:t>
      </w:r>
      <w:r>
        <w:rPr>
          <w:rFonts w:cs="Arial" w:ascii="Calibri" w:hAnsi="Calibri"/>
          <w:i w:val="false"/>
          <w:iCs w:val="false"/>
          <w:color w:val="000000"/>
          <w:sz w:val="24"/>
          <w:szCs w:val="24"/>
          <w:shd w:fill="auto" w:val="clear"/>
        </w:rPr>
        <w:t>eventual</w:t>
      </w:r>
      <w:r>
        <w:rPr>
          <w:rFonts w:cs="Arial" w:ascii="Calibri" w:hAnsi="Calibri"/>
          <w:i w:val="false"/>
          <w:iCs w:val="false"/>
          <w:color w:val="000000" w:themeColor="text1"/>
          <w:sz w:val="24"/>
          <w:szCs w:val="24"/>
          <w:shd w:fill="auto" w:val="clear"/>
        </w:rPr>
        <w:t xml:space="preserve"> empate entre </w:t>
      </w:r>
      <w:r>
        <w:rPr>
          <w:rFonts w:cs="Arial" w:ascii="Calibri" w:hAnsi="Calibri"/>
          <w:i w:val="false"/>
          <w:iCs w:val="false"/>
          <w:color w:val="000000"/>
          <w:sz w:val="24"/>
          <w:szCs w:val="24"/>
          <w:shd w:fill="auto" w:val="clear"/>
        </w:rPr>
        <w:t>propostas</w:t>
      </w:r>
      <w:r>
        <w:rPr>
          <w:rFonts w:cs="Arial" w:ascii="Calibri" w:hAnsi="Calibri"/>
          <w:i w:val="false"/>
          <w:iCs w:val="false"/>
          <w:color w:val="000000" w:themeColor="text1"/>
          <w:sz w:val="24"/>
          <w:szCs w:val="24"/>
          <w:shd w:fill="auto" w:val="clear"/>
        </w:rPr>
        <w:t xml:space="preserve"> ou lances</w:t>
      </w:r>
      <w:r>
        <w:rPr>
          <w:rFonts w:cs="Arial" w:ascii="Calibri" w:hAnsi="Calibri"/>
          <w:i w:val="false"/>
          <w:iCs w:val="false"/>
          <w:color w:val="000000"/>
          <w:sz w:val="24"/>
          <w:szCs w:val="24"/>
          <w:shd w:fill="auto" w:val="clear"/>
        </w:rPr>
        <w:t xml:space="preserve">, o critério de desempate será aquele previsto no art. 3º, § 2º, da Lei nº 8.666, de 1993, assegurando-se a preferência, sucessivamente, </w:t>
      </w:r>
      <w:r>
        <w:rPr>
          <w:rFonts w:cs="Arial" w:ascii="Calibri" w:hAnsi="Calibri"/>
          <w:i w:val="false"/>
          <w:iCs w:val="false"/>
          <w:color w:val="000000" w:themeColor="text1"/>
          <w:sz w:val="24"/>
          <w:szCs w:val="24"/>
          <w:shd w:fill="auto" w:val="clear"/>
        </w:rPr>
        <w:t>ao objeto produzido</w:t>
      </w:r>
      <w:r>
        <w:rPr>
          <w:rFonts w:cs="Arial" w:ascii="Calibri" w:hAnsi="Calibri"/>
          <w:i w:val="false"/>
          <w:iCs w:val="false"/>
          <w:color w:val="000000"/>
          <w:sz w:val="24"/>
          <w:szCs w:val="24"/>
          <w:shd w:fill="auto" w:val="clear"/>
        </w:rPr>
        <w:t>:</w:t>
      </w:r>
    </w:p>
    <w:p>
      <w:pPr>
        <w:pStyle w:val="ListParagraph"/>
        <w:numPr>
          <w:ilvl w:val="2"/>
          <w:numId w:val="29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 pais;</w:t>
      </w:r>
    </w:p>
    <w:p>
      <w:pPr>
        <w:pStyle w:val="ListParagraph"/>
        <w:numPr>
          <w:ilvl w:val="2"/>
          <w:numId w:val="29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por empresas brasileiras; </w:t>
      </w:r>
    </w:p>
    <w:p>
      <w:pPr>
        <w:pStyle w:val="ListParagraph"/>
        <w:numPr>
          <w:ilvl w:val="2"/>
          <w:numId w:val="29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por empresas que invistam em pesquisa e no desenvolvimento de tecnologia no País;</w:t>
      </w:r>
    </w:p>
    <w:p>
      <w:pPr>
        <w:pStyle w:val="ListParagraph"/>
        <w:numPr>
          <w:ilvl w:val="2"/>
          <w:numId w:val="30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por empresas que comprovem cumprimento de reserva de cargos prevista em lei para pessoa com deficiência ou para reabilitado da Previdência Social e que atendam às regras de acessibilidade previstas na legislação.</w:t>
      </w:r>
    </w:p>
    <w:p>
      <w:pPr>
        <w:pStyle w:val="ListParagraph"/>
        <w:numPr>
          <w:ilvl w:val="1"/>
          <w:numId w:val="30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Persistindo o empate, a proposta vencedora será sorteada pelo sistema eletrônico dentre as propostas ou os lances empatados. </w:t>
      </w:r>
    </w:p>
    <w:p>
      <w:pPr>
        <w:pStyle w:val="ListParagraph"/>
        <w:numPr>
          <w:ilvl w:val="1"/>
          <w:numId w:val="30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numPr>
          <w:ilvl w:val="2"/>
          <w:numId w:val="30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negociação será realizada por meio do sistema, podendo ser acompanhada pelos demais licitantes.</w:t>
      </w:r>
    </w:p>
    <w:p>
      <w:pPr>
        <w:pStyle w:val="ListParagraph"/>
        <w:numPr>
          <w:ilvl w:val="2"/>
          <w:numId w:val="304"/>
        </w:numPr>
        <w:tabs>
          <w:tab w:val="clear" w:pos="708"/>
          <w:tab w:val="left" w:pos="-12" w:leader="none"/>
        </w:tabs>
        <w:spacing w:lineRule="auto" w:line="240" w:before="0" w:after="0"/>
        <w:contextualSpacing/>
        <w:jc w:val="both"/>
        <w:rPr>
          <w:rFonts w:ascii="Calibri" w:hAnsi="Calibri"/>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rPr>
        <w:t xml:space="preserve">O pregoeiro solicitará ao licitante melhor classificado que, no prazo de </w:t>
      </w:r>
      <w:r>
        <w:rPr>
          <w:rFonts w:eastAsia="Arial" w:cs="Arial" w:ascii="Calibri" w:hAnsi="Calibri"/>
          <w:i w:val="false"/>
          <w:iCs w:val="false"/>
          <w:color w:val="000000"/>
          <w:sz w:val="24"/>
          <w:szCs w:val="24"/>
          <w:shd w:fill="auto" w:val="clear"/>
          <w:lang w:eastAsia="pt-BR"/>
        </w:rPr>
        <w:t>2h</w:t>
      </w:r>
      <w:r>
        <w:rPr>
          <w:rFonts w:eastAsia="Arial" w:cs="Arial" w:ascii="Calibri" w:hAnsi="Calibri"/>
          <w:i w:val="false"/>
          <w:iCs w:val="false"/>
          <w:color w:val="000000"/>
          <w:sz w:val="24"/>
          <w:szCs w:val="24"/>
          <w:shd w:fill="auto" w:val="clear"/>
        </w:rPr>
        <w:t xml:space="preserve"> (duas horas) horas, envie a proposta adequada ao último lance ofertado após a negociação realizada, acompanhada, se for o caso, dos documentos complementares, quando necessários à confirmação daqueles exigidos neste Edital e já apresentados.</w:t>
      </w:r>
    </w:p>
    <w:p>
      <w:pPr>
        <w:pStyle w:val="Normal"/>
        <w:numPr>
          <w:ilvl w:val="2"/>
          <w:numId w:val="305"/>
        </w:numPr>
        <w:spacing w:lineRule="auto" w:line="240" w:before="0" w:after="0"/>
        <w:ind w:left="1638" w:right="-15" w:hanging="504"/>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É </w:t>
      </w:r>
      <w:r>
        <w:rPr>
          <w:rFonts w:cs="Arial" w:ascii="Calibri" w:hAnsi="Calibri"/>
          <w:i w:val="false"/>
          <w:iCs w:val="false"/>
          <w:color w:val="000000" w:themeColor="text1"/>
          <w:sz w:val="24"/>
          <w:szCs w:val="24"/>
          <w:shd w:fill="auto" w:val="clear"/>
          <w:lang w:eastAsia="en-US"/>
        </w:rPr>
        <w:t>facultado</w:t>
      </w:r>
      <w:r>
        <w:rPr>
          <w:rFonts w:cs="Arial" w:ascii="Calibri" w:hAnsi="Calibri"/>
          <w:i w:val="false"/>
          <w:iCs w:val="false"/>
          <w:color w:val="000000" w:themeColor="text1"/>
          <w:sz w:val="24"/>
          <w:szCs w:val="24"/>
          <w:shd w:fill="auto" w:val="clear"/>
        </w:rPr>
        <w:t xml:space="preserve"> ao pregoeiro prorrogar o prazo estabelecido, a partir de solicitação fundamentada feita no chat pelo licitante, antes de findo o prazo.</w:t>
      </w:r>
    </w:p>
    <w:p>
      <w:pPr>
        <w:pStyle w:val="ListParagraph"/>
        <w:numPr>
          <w:ilvl w:val="1"/>
          <w:numId w:val="30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Após a negociação do preço, o Pregoeiro iniciará a fase de aceitação e julgamento da proposta.</w:t>
      </w:r>
    </w:p>
    <w:p>
      <w:pPr>
        <w:pStyle w:val="ListParagraph"/>
        <w:numPr>
          <w:ilvl w:val="0"/>
          <w:numId w:val="0"/>
        </w:numPr>
        <w:spacing w:lineRule="auto" w:line="240" w:before="0" w:after="0"/>
        <w:ind w:left="1719"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ACEITABILIDADE DA PROPOSTA VENCEDORA.</w:t>
      </w:r>
    </w:p>
    <w:p>
      <w:pPr>
        <w:pStyle w:val="ListParagraph"/>
        <w:numPr>
          <w:ilvl w:val="1"/>
          <w:numId w:val="30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ListParagraph"/>
        <w:numPr>
          <w:ilvl w:val="1"/>
          <w:numId w:val="30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pPr>
        <w:pStyle w:val="ListParagraph"/>
        <w:numPr>
          <w:ilvl w:val="1"/>
          <w:numId w:val="30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Será desclassificada a proposta ou o lance vencedor, apresentar preço final superior ao preço máximo fixado (Acórdão nº 1455/2018 -TCU - Plenário), desconto menor do que o mínimo exigido ou que apresentar preço manifestamente inexequível.</w:t>
      </w:r>
    </w:p>
    <w:p>
      <w:pPr>
        <w:pStyle w:val="ListParagraph"/>
        <w:numPr>
          <w:ilvl w:val="2"/>
          <w:numId w:val="31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Start w:id="3" w:name="OLE_LINK1"/>
      <w:bookmarkEnd w:id="3"/>
    </w:p>
    <w:p>
      <w:pPr>
        <w:pStyle w:val="ListParagraph"/>
        <w:numPr>
          <w:ilvl w:val="1"/>
          <w:numId w:val="31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Qualquer interessado poderá requerer que se realizem diligências para aferir a exequibilidade e a legalidade das propostas, devendo apresentar as provas ou os indícios que fundamentam a suspeita</w:t>
      </w:r>
      <w:r>
        <w:rPr>
          <w:rFonts w:cs="Arial" w:ascii="Calibri" w:hAnsi="Calibri"/>
          <w:i w:val="false"/>
          <w:iCs w:val="false"/>
          <w:color w:val="000000" w:themeColor="text1"/>
          <w:sz w:val="24"/>
          <w:szCs w:val="24"/>
          <w:shd w:fill="auto" w:val="clear"/>
          <w:lang w:eastAsia="en-US"/>
        </w:rPr>
        <w:t>;</w:t>
      </w:r>
    </w:p>
    <w:p>
      <w:pPr>
        <w:pStyle w:val="ListParagraph"/>
        <w:numPr>
          <w:ilvl w:val="1"/>
          <w:numId w:val="31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Pr>
          <w:rFonts w:cs="Arial" w:ascii="Calibri" w:hAnsi="Calibri"/>
          <w:i w:val="false"/>
          <w:iCs w:val="false"/>
          <w:color w:val="000000" w:themeColor="text1"/>
          <w:sz w:val="24"/>
          <w:szCs w:val="24"/>
          <w:shd w:fill="auto" w:val="clear"/>
          <w:lang w:eastAsia="en-US"/>
        </w:rPr>
        <w:t>;</w:t>
      </w:r>
    </w:p>
    <w:p>
      <w:pPr>
        <w:pStyle w:val="ListParagraph"/>
        <w:numPr>
          <w:ilvl w:val="1"/>
          <w:numId w:val="31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O Pregoeiro poderá convocar o licitante para enviar documento digital complementar, por meio de funcionalidade disponível no sistema, no prazo de </w:t>
      </w:r>
      <w:r>
        <w:rPr>
          <w:rFonts w:cs="Arial" w:ascii="Calibri" w:hAnsi="Calibri"/>
          <w:i w:val="false"/>
          <w:iCs w:val="false"/>
          <w:color w:val="000000"/>
          <w:sz w:val="24"/>
          <w:szCs w:val="24"/>
          <w:shd w:fill="auto" w:val="clear"/>
          <w:lang w:eastAsia="pt-BR"/>
        </w:rPr>
        <w:t>2h</w:t>
      </w:r>
      <w:r>
        <w:rPr>
          <w:rFonts w:cs="Arial" w:ascii="Calibri" w:hAnsi="Calibri"/>
          <w:i w:val="false"/>
          <w:iCs w:val="false"/>
          <w:color w:val="000000"/>
          <w:sz w:val="24"/>
          <w:szCs w:val="24"/>
          <w:shd w:fill="auto" w:val="clear"/>
        </w:rPr>
        <w:t xml:space="preserve"> (</w:t>
      </w:r>
      <w:r>
        <w:rPr>
          <w:rFonts w:eastAsia="Arial" w:cs="Arial" w:ascii="Calibri" w:hAnsi="Calibri"/>
          <w:i w:val="false"/>
          <w:iCs w:val="false"/>
          <w:color w:val="000000"/>
          <w:sz w:val="24"/>
          <w:szCs w:val="24"/>
          <w:shd w:fill="auto" w:val="clear"/>
        </w:rPr>
        <w:t>duas horas</w:t>
      </w:r>
      <w:r>
        <w:rPr>
          <w:rFonts w:cs="Arial" w:ascii="Calibri" w:hAnsi="Calibri"/>
          <w:i w:val="false"/>
          <w:iCs w:val="false"/>
          <w:color w:val="000000"/>
          <w:sz w:val="24"/>
          <w:szCs w:val="24"/>
          <w:shd w:fill="auto" w:val="clear"/>
        </w:rPr>
        <w:t>),</w:t>
      </w:r>
      <w:r>
        <w:rPr>
          <w:rFonts w:cs="Arial" w:ascii="Calibri" w:hAnsi="Calibri"/>
          <w:i w:val="false"/>
          <w:iCs w:val="false"/>
          <w:color w:val="000000" w:themeColor="text1"/>
          <w:sz w:val="24"/>
          <w:szCs w:val="24"/>
          <w:shd w:fill="auto" w:val="clear"/>
        </w:rPr>
        <w:t>sob pena de não aceitação da proposta.</w:t>
      </w:r>
    </w:p>
    <w:p>
      <w:pPr>
        <w:pStyle w:val="ListParagraph"/>
        <w:numPr>
          <w:ilvl w:val="2"/>
          <w:numId w:val="31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lang w:eastAsia="en-US"/>
        </w:rPr>
        <w:t>É facultado ao pregoeiro prorrogar o prazo estabelecido, a partir de solicitação fundamentada feita no chat pelo licitante, antes de findo o prazo</w:t>
      </w:r>
    </w:p>
    <w:p>
      <w:pPr>
        <w:pStyle w:val="ListParagraph"/>
        <w:numPr>
          <w:ilvl w:val="2"/>
          <w:numId w:val="315"/>
        </w:numPr>
        <w:spacing w:lineRule="auto" w:line="240" w:before="0" w:after="0"/>
        <w:ind w:left="1638" w:right="-15" w:hanging="504"/>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w:t>
      </w:r>
      <w:r>
        <w:rPr>
          <w:rFonts w:cs="Arial" w:ascii="Calibri" w:hAnsi="Calibri"/>
          <w:i w:val="false"/>
          <w:iCs w:val="false"/>
          <w:color w:val="000000" w:themeColor="text1"/>
          <w:sz w:val="24"/>
          <w:szCs w:val="24"/>
          <w:shd w:fill="auto" w:val="clear"/>
          <w:lang w:eastAsia="en-US"/>
        </w:rPr>
        <w:t>catálogos</w:t>
      </w:r>
      <w:r>
        <w:rPr>
          <w:rFonts w:cs="Arial" w:ascii="Calibri" w:hAnsi="Calibri"/>
          <w:i w:val="false"/>
          <w:iCs w:val="false"/>
          <w:color w:val="000000"/>
          <w:sz w:val="24"/>
          <w:szCs w:val="24"/>
          <w:shd w:fill="auto" w:val="clear"/>
          <w:lang w:eastAsia="en-US"/>
        </w:rPr>
        <w:t>, folhetos ou propostas, encaminhados por meio eletrônico, ou, se for o caso, por outro meio e prazo indicados pelo Pregoeiro, sem prejuízo do seu ulterior envio pelo sistema eletrônico, sob pena de não aceitação da proposta</w:t>
      </w:r>
      <w:r>
        <w:rPr>
          <w:rFonts w:cs="Arial" w:ascii="Calibri" w:hAnsi="Calibri"/>
          <w:i w:val="false"/>
          <w:iCs w:val="false"/>
          <w:strike/>
          <w:color w:val="000000"/>
          <w:sz w:val="24"/>
          <w:szCs w:val="24"/>
          <w:shd w:fill="auto" w:val="clear"/>
          <w:lang w:eastAsia="en-US"/>
        </w:rPr>
        <w:t>.</w:t>
      </w:r>
    </w:p>
    <w:p>
      <w:pPr>
        <w:pStyle w:val="ListParagraph"/>
        <w:numPr>
          <w:ilvl w:val="1"/>
          <w:numId w:val="31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 a proposta ou lance vencedor for desclassificado, o Pregoeiro examinará a proposta ou lance subsequente, e, assim sucessivamente, na ordem de classificação.</w:t>
      </w:r>
    </w:p>
    <w:p>
      <w:pPr>
        <w:pStyle w:val="ListParagraph"/>
        <w:numPr>
          <w:ilvl w:val="1"/>
          <w:numId w:val="31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Havendo necessidade, o Pregoeiro suspenderá a sessão, informando no “chat” a nova data e horário para </w:t>
      </w:r>
      <w:r>
        <w:rPr>
          <w:rFonts w:cs="Arial" w:ascii="Calibri" w:hAnsi="Calibri"/>
          <w:i w:val="false"/>
          <w:iCs w:val="false"/>
          <w:color w:val="000000"/>
          <w:sz w:val="24"/>
          <w:szCs w:val="24"/>
          <w:shd w:fill="auto" w:val="clear"/>
          <w:lang w:eastAsia="en-US"/>
        </w:rPr>
        <w:t xml:space="preserve">a </w:t>
      </w:r>
      <w:r>
        <w:rPr>
          <w:rFonts w:cs="Arial" w:ascii="Calibri" w:hAnsi="Calibri"/>
          <w:i w:val="false"/>
          <w:iCs w:val="false"/>
          <w:color w:val="000000"/>
          <w:sz w:val="24"/>
          <w:szCs w:val="24"/>
          <w:shd w:fill="auto" w:val="clear"/>
        </w:rPr>
        <w:t>sua continuidade.</w:t>
      </w:r>
    </w:p>
    <w:p>
      <w:pPr>
        <w:pStyle w:val="ListParagraph"/>
        <w:numPr>
          <w:ilvl w:val="1"/>
          <w:numId w:val="31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ListParagraph"/>
        <w:numPr>
          <w:ilvl w:val="1"/>
          <w:numId w:val="31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Encerrada a análise quanto à aceitação da proposta, o pregoeiro verificará a habilitação do licitante, </w:t>
      </w:r>
      <w:r>
        <w:rPr>
          <w:rFonts w:cs="Arial" w:ascii="Calibri" w:hAnsi="Calibri"/>
          <w:i w:val="false"/>
          <w:iCs w:val="false"/>
          <w:color w:val="000000" w:themeColor="text1"/>
          <w:sz w:val="24"/>
          <w:szCs w:val="24"/>
          <w:shd w:fill="auto" w:val="clear"/>
        </w:rPr>
        <w:t>observado</w:t>
      </w:r>
      <w:r>
        <w:rPr>
          <w:rFonts w:cs="Arial" w:ascii="Calibri" w:hAnsi="Calibri"/>
          <w:i w:val="false"/>
          <w:iCs w:val="false"/>
          <w:color w:val="000000"/>
          <w:sz w:val="24"/>
          <w:szCs w:val="24"/>
          <w:shd w:fill="auto" w:val="clear"/>
        </w:rPr>
        <w:t xml:space="preserve"> o disposto neste Edital.</w:t>
      </w:r>
    </w:p>
    <w:p>
      <w:pPr>
        <w:pStyle w:val="ListParagraph"/>
        <w:numPr>
          <w:ilvl w:val="0"/>
          <w:numId w:val="0"/>
        </w:numPr>
        <w:spacing w:lineRule="auto" w:line="240" w:before="0" w:after="0"/>
        <w:ind w:left="1719"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HABILITAÇÃO</w:t>
      </w:r>
    </w:p>
    <w:p>
      <w:pPr>
        <w:pStyle w:val="ListParagraph"/>
        <w:numPr>
          <w:ilvl w:val="1"/>
          <w:numId w:val="32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 SICAF;  </w:t>
      </w:r>
    </w:p>
    <w:p>
      <w:pPr>
        <w:pStyle w:val="ListParagraph"/>
        <w:spacing w:lineRule="auto" w:line="240" w:before="0" w:after="0"/>
        <w:ind w:left="1134" w:hanging="0"/>
        <w:contextualSpacing/>
        <w:jc w:val="both"/>
        <w:rPr/>
      </w:pPr>
      <w:r>
        <w:rPr>
          <w:rFonts w:cs="Arial" w:ascii="Calibri" w:hAnsi="Calibri"/>
          <w:i w:val="false"/>
          <w:iCs w:val="false"/>
          <w:color w:val="000000"/>
          <w:sz w:val="24"/>
          <w:szCs w:val="24"/>
          <w:shd w:fill="auto" w:val="clear"/>
        </w:rPr>
        <w:t>b) Cadastro Nacional de Empresas Inidôneas e Suspensas - CEIS, mantido pela Controladoria-Geral da União (</w:t>
      </w:r>
      <w:hyperlink r:id="rId4">
        <w:r>
          <w:rPr>
            <w:rStyle w:val="LinkdaInternet"/>
            <w:rFonts w:cs="Arial" w:ascii="Calibri" w:hAnsi="Calibri"/>
            <w:i w:val="false"/>
            <w:iCs w:val="false"/>
            <w:color w:val="000000"/>
            <w:sz w:val="24"/>
            <w:szCs w:val="24"/>
            <w:shd w:fill="auto" w:val="clear"/>
          </w:rPr>
          <w:t>www.portaldatransparencia.gov.br/ceis</w:t>
        </w:r>
      </w:hyperlink>
      <w:r>
        <w:rPr>
          <w:rFonts w:cs="Arial" w:ascii="Calibri" w:hAnsi="Calibri"/>
          <w:i w:val="false"/>
          <w:iCs w:val="false"/>
          <w:color w:val="000000"/>
          <w:sz w:val="24"/>
          <w:szCs w:val="24"/>
          <w:shd w:fill="auto" w:val="clear"/>
        </w:rPr>
        <w:t xml:space="preserve">);  </w:t>
      </w:r>
    </w:p>
    <w:p>
      <w:pPr>
        <w:pStyle w:val="ListParagraph"/>
        <w:spacing w:lineRule="auto" w:line="240" w:before="0" w:after="0"/>
        <w:ind w:left="1134" w:hanging="0"/>
        <w:contextualSpacing/>
        <w:jc w:val="both"/>
        <w:rPr/>
      </w:pPr>
      <w:r>
        <w:rPr>
          <w:rFonts w:cs="Arial" w:ascii="Calibri" w:hAnsi="Calibri"/>
          <w:i w:val="false"/>
          <w:iCs w:val="false"/>
          <w:color w:val="000000"/>
          <w:sz w:val="24"/>
          <w:szCs w:val="24"/>
          <w:shd w:fill="auto" w:val="clear"/>
        </w:rPr>
        <w:t>c) Cadastro Nacional de Condenações Cíveis por Atos de Improbidade Administrativa, mantido pelo Conselho Nacional de Justiça (</w:t>
      </w:r>
      <w:hyperlink r:id="rId5">
        <w:r>
          <w:rPr>
            <w:rStyle w:val="LinkdaInternet"/>
            <w:rFonts w:cs="Arial" w:ascii="Calibri" w:hAnsi="Calibri"/>
            <w:i w:val="false"/>
            <w:iCs w:val="false"/>
            <w:color w:val="000000"/>
            <w:sz w:val="24"/>
            <w:szCs w:val="24"/>
            <w:shd w:fill="auto" w:val="clear"/>
          </w:rPr>
          <w:t>www.cnj.jus.br/improbidade_adm/consultar_requerido.php</w:t>
        </w:r>
      </w:hyperlink>
      <w:r>
        <w:rPr>
          <w:rFonts w:cs="Arial" w:ascii="Calibri" w:hAnsi="Calibri"/>
          <w:i w:val="false"/>
          <w:iCs w:val="false"/>
          <w:color w:val="000000"/>
          <w:sz w:val="24"/>
          <w:szCs w:val="24"/>
          <w:shd w:fill="auto" w:val="clear"/>
        </w:rPr>
        <w:t xml:space="preserve">).  </w:t>
      </w:r>
    </w:p>
    <w:p>
      <w:pPr>
        <w:pStyle w:val="ListParagraph"/>
        <w:spacing w:lineRule="auto" w:line="240" w:before="0" w:after="0"/>
        <w:ind w:left="1134" w:hanging="0"/>
        <w:contextualSpacing/>
        <w:jc w:val="both"/>
        <w:rPr/>
      </w:pPr>
      <w:r>
        <w:rPr>
          <w:rFonts w:cs="Arial" w:ascii="Calibri" w:hAnsi="Calibri"/>
          <w:i w:val="false"/>
          <w:iCs w:val="false"/>
          <w:color w:val="000000"/>
          <w:sz w:val="24"/>
          <w:szCs w:val="24"/>
          <w:shd w:fill="auto" w:val="clear"/>
        </w:rPr>
        <w:t xml:space="preserve">d) Lista de Inidôneos, mantida pelo Tribunal de Contas da União </w:t>
      </w:r>
      <w:r>
        <w:rPr>
          <w:rFonts w:cs="Arial" w:ascii="Calibri" w:hAnsi="Calibri"/>
          <w:i w:val="false"/>
          <w:iCs w:val="false"/>
          <w:color w:val="000000"/>
          <w:sz w:val="24"/>
          <w:szCs w:val="24"/>
          <w:shd w:fill="auto" w:val="clear"/>
          <w:lang w:eastAsia="ar-SA"/>
        </w:rPr>
        <w:t>-</w:t>
      </w:r>
      <w:r>
        <w:rPr>
          <w:rFonts w:cs="Arial" w:ascii="Calibri" w:hAnsi="Calibri"/>
          <w:i w:val="false"/>
          <w:iCs w:val="false"/>
          <w:color w:val="000000"/>
          <w:sz w:val="24"/>
          <w:szCs w:val="24"/>
          <w:shd w:fill="auto" w:val="clear"/>
        </w:rPr>
        <w:t xml:space="preserve"> TCU</w:t>
      </w:r>
      <w:r>
        <w:rPr>
          <w:rFonts w:cs="Arial" w:ascii="Calibri" w:hAnsi="Calibri"/>
          <w:i w:val="false"/>
          <w:iCs w:val="false"/>
          <w:color w:val="000000"/>
          <w:sz w:val="24"/>
          <w:szCs w:val="24"/>
          <w:shd w:fill="auto" w:val="clear"/>
          <w:lang w:eastAsia="ar-SA"/>
        </w:rPr>
        <w:t>(</w:t>
      </w:r>
      <w:hyperlink r:id="rId6">
        <w:r>
          <w:rPr>
            <w:rStyle w:val="LinkdaInternet"/>
            <w:rFonts w:cs="Arial" w:ascii="Calibri" w:hAnsi="Calibri"/>
            <w:i w:val="false"/>
            <w:iCs w:val="false"/>
            <w:color w:val="000000"/>
            <w:sz w:val="24"/>
            <w:szCs w:val="24"/>
            <w:shd w:fill="auto" w:val="clear"/>
            <w:lang w:eastAsia="ar-SA"/>
          </w:rPr>
          <w:t>https://contas.tcu.gov.br/ords/f?p=INABILITADO:CERTIDAO:0</w:t>
        </w:r>
      </w:hyperlink>
      <w:r>
        <w:rPr>
          <w:rFonts w:cs="Arial" w:ascii="Calibri" w:hAnsi="Calibri"/>
          <w:i w:val="false"/>
          <w:iCs w:val="false"/>
          <w:color w:val="000000"/>
          <w:sz w:val="24"/>
          <w:szCs w:val="24"/>
          <w:shd w:fill="auto" w:val="clear"/>
          <w:lang w:eastAsia="ar-SA"/>
        </w:rPr>
        <w:t>:);</w:t>
      </w:r>
      <w:r>
        <w:rPr>
          <w:rFonts w:cs="Arial" w:ascii="Calibri" w:hAnsi="Calibri"/>
          <w:i w:val="false"/>
          <w:iCs w:val="false"/>
          <w:color w:val="000000"/>
          <w:sz w:val="24"/>
          <w:szCs w:val="24"/>
          <w:shd w:fill="auto" w:val="clear"/>
        </w:rPr>
        <w:t xml:space="preserve"> </w:t>
      </w:r>
    </w:p>
    <w:p>
      <w:pPr>
        <w:pStyle w:val="ListParagraph"/>
        <w:numPr>
          <w:ilvl w:val="2"/>
          <w:numId w:val="32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Para a consulta de licitantes pessoa jurídica poderá haver a substituição das consultas das alíneas “b”, “c” e “d” acima pela Consulta Consolidada de Pessoa Jurídica do TCU (https://certidoesapf.apps.tcu.gov.br/)</w:t>
      </w:r>
    </w:p>
    <w:p>
      <w:pPr>
        <w:pStyle w:val="ListParagraph"/>
        <w:numPr>
          <w:ilvl w:val="1"/>
          <w:numId w:val="32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2"/>
          <w:numId w:val="32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2"/>
          <w:numId w:val="32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tentativa de burla será verificada por meio dos vínculos societários, linhas de fornecimento similares, dentre outros.</w:t>
      </w:r>
    </w:p>
    <w:p>
      <w:pPr>
        <w:pStyle w:val="ListParagraph"/>
        <w:numPr>
          <w:ilvl w:val="2"/>
          <w:numId w:val="32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licitante será convocado para manifestação previamente à sua desclassificação.</w:t>
      </w:r>
    </w:p>
    <w:p>
      <w:pPr>
        <w:pStyle w:val="ListParagraph"/>
        <w:numPr>
          <w:ilvl w:val="1"/>
          <w:numId w:val="32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Constatada a existência de sanção, o Pregoeiro reputará o licitante inabilitado, por falta de condição de participação.</w:t>
      </w:r>
    </w:p>
    <w:p>
      <w:pPr>
        <w:pStyle w:val="ListParagraph"/>
        <w:numPr>
          <w:ilvl w:val="1"/>
          <w:numId w:val="32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32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 xml:space="preserve">Caso atendidas as condições de participação, </w:t>
      </w:r>
      <w:r>
        <w:rPr>
          <w:rFonts w:cs="Arial" w:ascii="Calibri" w:hAnsi="Calibri"/>
          <w:i w:val="false"/>
          <w:iCs w:val="false"/>
          <w:color w:val="000000"/>
          <w:sz w:val="24"/>
          <w:szCs w:val="24"/>
          <w:shd w:fill="auto" w:val="clear"/>
        </w:rPr>
        <w:t>a habilitação dos licitantes será verificada por meio do SICAF, nos documentos por ele abrangidos em relação à habilitação jurídica, à regularidade fiscal e</w:t>
      </w:r>
      <w:r>
        <w:rPr>
          <w:rFonts w:cs="Arial" w:ascii="Calibri" w:hAnsi="Calibri"/>
          <w:i w:val="false"/>
          <w:iCs w:val="false"/>
          <w:color w:val="000000"/>
          <w:sz w:val="24"/>
          <w:szCs w:val="24"/>
          <w:shd w:fill="auto" w:val="clear"/>
          <w:lang w:eastAsia="ar-SA"/>
        </w:rPr>
        <w:t xml:space="preserve"> trabalhista</w:t>
      </w:r>
      <w:r>
        <w:rPr>
          <w:rFonts w:cs="Arial" w:ascii="Calibri" w:hAnsi="Calibri"/>
          <w:i w:val="false"/>
          <w:iCs w:val="false"/>
          <w:color w:val="000000"/>
          <w:sz w:val="24"/>
          <w:szCs w:val="24"/>
          <w:shd w:fill="auto" w:val="clear"/>
        </w:rPr>
        <w:t xml:space="preserve">, à qualificação </w:t>
      </w:r>
      <w:r>
        <w:rPr>
          <w:rFonts w:cs="Arial" w:ascii="Calibri" w:hAnsi="Calibri"/>
          <w:i w:val="false"/>
          <w:iCs w:val="false"/>
          <w:color w:val="000000" w:themeColor="text1"/>
          <w:sz w:val="24"/>
          <w:szCs w:val="24"/>
          <w:shd w:fill="auto" w:val="clear"/>
        </w:rPr>
        <w:t>-</w:t>
      </w:r>
      <w:r>
        <w:rPr>
          <w:rFonts w:cs="Arial" w:ascii="Calibri" w:hAnsi="Calibri"/>
          <w:i w:val="false"/>
          <w:iCs w:val="false"/>
          <w:color w:val="000000"/>
          <w:sz w:val="24"/>
          <w:szCs w:val="24"/>
          <w:shd w:fill="auto" w:val="clear"/>
          <w:lang w:eastAsia="ar-SA"/>
        </w:rPr>
        <w:t xml:space="preserve">econômico </w:t>
      </w:r>
      <w:r>
        <w:rPr>
          <w:rFonts w:cs="Arial" w:ascii="Calibri" w:hAnsi="Calibri"/>
          <w:i w:val="false"/>
          <w:iCs w:val="false"/>
          <w:color w:val="000000"/>
          <w:sz w:val="24"/>
          <w:szCs w:val="24"/>
          <w:shd w:fill="auto" w:val="clear"/>
        </w:rPr>
        <w:t>financeira e habilitação técnica, conforme o disposto na Instrução Normativa SEGES/MP nº 03, de 2018.</w:t>
      </w:r>
    </w:p>
    <w:p>
      <w:pPr>
        <w:pStyle w:val="ListParagraph"/>
        <w:numPr>
          <w:ilvl w:val="2"/>
          <w:numId w:val="32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33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33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33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Havendo</w:t>
      </w:r>
      <w:r>
        <w:rPr>
          <w:rFonts w:cs="Arial" w:ascii="Calibri" w:hAnsi="Calibri"/>
          <w:i w:val="false"/>
          <w:iCs w:val="false"/>
          <w:color w:val="000000" w:themeColor="text1"/>
          <w:sz w:val="24"/>
          <w:szCs w:val="24"/>
          <w:shd w:fill="auto" w:val="clear"/>
        </w:rPr>
        <w:t xml:space="preserve"> a n</w:t>
      </w:r>
      <w:r>
        <w:rPr>
          <w:rFonts w:cs="Arial" w:ascii="Calibri" w:hAnsi="Calibri"/>
          <w:i w:val="false"/>
          <w:iCs w:val="false"/>
          <w:color w:val="000000"/>
          <w:sz w:val="24"/>
          <w:szCs w:val="24"/>
          <w:shd w:fill="auto" w:val="clear"/>
        </w:rPr>
        <w:t>ecessidade de envio de documentos de habilitação complementares</w:t>
      </w:r>
      <w:r>
        <w:rPr>
          <w:rFonts w:cs="Arial" w:ascii="Calibri" w:hAnsi="Calibri"/>
          <w:i w:val="false"/>
          <w:iCs w:val="false"/>
          <w:color w:val="000000" w:themeColor="text1"/>
          <w:sz w:val="24"/>
          <w:szCs w:val="24"/>
          <w:shd w:fill="auto" w:val="clear"/>
        </w:rPr>
        <w:t xml:space="preserve">, </w:t>
      </w:r>
      <w:r>
        <w:rPr>
          <w:rFonts w:cs="Arial" w:ascii="Calibri" w:hAnsi="Calibri"/>
          <w:i w:val="false"/>
          <w:iCs w:val="false"/>
          <w:color w:val="000000"/>
          <w:sz w:val="24"/>
          <w:szCs w:val="24"/>
          <w:shd w:fill="auto" w:val="clear"/>
        </w:rPr>
        <w:t>necessários à confirmação daqueles exigidos neste Edital e já apresentados, </w:t>
      </w:r>
      <w:r>
        <w:rPr>
          <w:rFonts w:cs="Arial" w:ascii="Calibri" w:hAnsi="Calibri"/>
          <w:i w:val="false"/>
          <w:iCs w:val="false"/>
          <w:color w:val="000000" w:themeColor="text1"/>
          <w:sz w:val="24"/>
          <w:szCs w:val="24"/>
          <w:shd w:fill="auto" w:val="clear"/>
        </w:rPr>
        <w:t xml:space="preserve">o licitante será convocado a encaminhá-los, </w:t>
      </w:r>
      <w:r>
        <w:rPr>
          <w:rFonts w:cs="Arial" w:ascii="Calibri" w:hAnsi="Calibri"/>
          <w:i w:val="false"/>
          <w:iCs w:val="false"/>
          <w:color w:val="000000"/>
          <w:sz w:val="24"/>
          <w:szCs w:val="24"/>
          <w:shd w:fill="auto" w:val="clear"/>
        </w:rPr>
        <w:t>em formato digital, via sistema,</w:t>
      </w:r>
      <w:r>
        <w:rPr>
          <w:rFonts w:cs="Arial" w:ascii="Calibri" w:hAnsi="Calibri"/>
          <w:i w:val="false"/>
          <w:iCs w:val="false"/>
          <w:color w:val="000000" w:themeColor="text1"/>
          <w:sz w:val="24"/>
          <w:szCs w:val="24"/>
          <w:shd w:fill="auto" w:val="clear"/>
        </w:rPr>
        <w:t xml:space="preserve"> no prazo de </w:t>
      </w:r>
      <w:r>
        <w:rPr>
          <w:rFonts w:cs="Arial" w:ascii="Calibri" w:hAnsi="Calibri"/>
          <w:i w:val="false"/>
          <w:iCs w:val="false"/>
          <w:color w:val="000000"/>
          <w:sz w:val="24"/>
          <w:szCs w:val="24"/>
          <w:shd w:fill="auto" w:val="clear"/>
          <w:lang w:eastAsia="pt-BR"/>
        </w:rPr>
        <w:t xml:space="preserve">2h </w:t>
      </w:r>
      <w:r>
        <w:rPr>
          <w:rFonts w:cs="Arial" w:ascii="Calibri" w:hAnsi="Calibri"/>
          <w:i w:val="false"/>
          <w:iCs w:val="false"/>
          <w:color w:val="000000"/>
          <w:sz w:val="24"/>
          <w:szCs w:val="24"/>
          <w:shd w:fill="auto" w:val="clear"/>
        </w:rPr>
        <w:t>(</w:t>
      </w:r>
      <w:r>
        <w:rPr>
          <w:rFonts w:eastAsia="Arial" w:cs="Arial" w:ascii="Calibri" w:hAnsi="Calibri"/>
          <w:i w:val="false"/>
          <w:iCs w:val="false"/>
          <w:color w:val="000000"/>
          <w:sz w:val="24"/>
          <w:szCs w:val="24"/>
          <w:shd w:fill="auto" w:val="clear"/>
        </w:rPr>
        <w:t>duas horas</w:t>
      </w:r>
      <w:r>
        <w:rPr>
          <w:rFonts w:cs="Arial" w:ascii="Calibri" w:hAnsi="Calibri"/>
          <w:i w:val="false"/>
          <w:iCs w:val="false"/>
          <w:color w:val="000000"/>
          <w:sz w:val="24"/>
          <w:szCs w:val="24"/>
          <w:shd w:fill="auto" w:val="clear"/>
        </w:rPr>
        <w:t>)</w:t>
      </w:r>
      <w:r>
        <w:rPr>
          <w:rFonts w:cs="Arial" w:ascii="Calibri" w:hAnsi="Calibri"/>
          <w:i w:val="false"/>
          <w:iCs w:val="false"/>
          <w:color w:val="000000" w:themeColor="text1"/>
          <w:sz w:val="24"/>
          <w:szCs w:val="24"/>
          <w:shd w:fill="auto" w:val="clear"/>
        </w:rPr>
        <w:t xml:space="preserve"> horas, sob pena de inabilitação.</w:t>
      </w:r>
    </w:p>
    <w:p>
      <w:pPr>
        <w:pStyle w:val="ListParagraph"/>
        <w:numPr>
          <w:ilvl w:val="1"/>
          <w:numId w:val="33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33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serão aceitos documentos de habilitação com indicação de CNPJ/CPF diferentes, salvo aqueles legalmente permitidos.</w:t>
      </w:r>
    </w:p>
    <w:p>
      <w:pPr>
        <w:pStyle w:val="ListParagraph"/>
        <w:numPr>
          <w:ilvl w:val="1"/>
          <w:numId w:val="33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pPr>
        <w:pStyle w:val="ListParagraph"/>
        <w:numPr>
          <w:ilvl w:val="2"/>
          <w:numId w:val="33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33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Ressalvado o disposto no item 5.3, os licitantes deverão encaminhar, nos termos deste Edital, a documentação relacionada nos itens a seguir, para fins de habilitação:</w:t>
      </w:r>
    </w:p>
    <w:p>
      <w:pPr>
        <w:pStyle w:val="ListParagraph"/>
        <w:numPr>
          <w:ilvl w:val="1"/>
          <w:numId w:val="33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 xml:space="preserve">Habilitação jurídica: </w:t>
      </w:r>
    </w:p>
    <w:p>
      <w:pPr>
        <w:pStyle w:val="ListParagraph"/>
        <w:numPr>
          <w:ilvl w:val="2"/>
          <w:numId w:val="33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 caso de empresário individual</w:t>
      </w:r>
      <w:r>
        <w:rPr>
          <w:rFonts w:cs="Arial" w:ascii="Calibri" w:hAnsi="Calibri"/>
          <w:bCs/>
          <w:i w:val="false"/>
          <w:iCs w:val="false"/>
          <w:color w:val="000000"/>
          <w:sz w:val="24"/>
          <w:szCs w:val="24"/>
          <w:shd w:fill="auto" w:val="clear"/>
        </w:rPr>
        <w:t>:</w:t>
      </w:r>
      <w:r>
        <w:rPr>
          <w:rFonts w:cs="Arial" w:ascii="Calibri" w:hAnsi="Calibri"/>
          <w:i w:val="false"/>
          <w:iCs w:val="false"/>
          <w:color w:val="000000"/>
          <w:sz w:val="24"/>
          <w:szCs w:val="24"/>
          <w:shd w:fill="auto" w:val="clear"/>
        </w:rPr>
        <w:t xml:space="preserve"> inscrição no Registro Público de Empresas Mercantis, a cargo da Junta Comercial da respectiva sede;</w:t>
      </w:r>
    </w:p>
    <w:p>
      <w:pPr>
        <w:pStyle w:val="ListParagraph"/>
        <w:numPr>
          <w:ilvl w:val="2"/>
          <w:numId w:val="34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Em se tratando de Microempreendedor Individual – MEI: Certificado da Condição de Microempreendedor Individual - CCMEI, cuja aceitação ficará condicionada à verificação da autenticidade no sítio www.portaldoempreendedor.gov.br;</w:t>
      </w:r>
    </w:p>
    <w:p>
      <w:pPr>
        <w:pStyle w:val="ListParagraph"/>
        <w:numPr>
          <w:ilvl w:val="2"/>
          <w:numId w:val="34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34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inscrição no Registro Público de Empresas Mercantis onde opera, com averbação no Registro onde tem sede a matriz, no caso de ser o participante sucursal, filial ou agência;</w:t>
      </w:r>
    </w:p>
    <w:p>
      <w:pPr>
        <w:pStyle w:val="ListParagraph"/>
        <w:numPr>
          <w:ilvl w:val="2"/>
          <w:numId w:val="34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 caso de sociedade simples: inscrição do ato constitutivo no Registro Civil das Pessoas Jurídicas do local de sua sede, acompanhada de prova da indicação dos seus administradores;</w:t>
      </w:r>
    </w:p>
    <w:p>
      <w:pPr>
        <w:pStyle w:val="ListParagraph"/>
        <w:numPr>
          <w:ilvl w:val="2"/>
          <w:numId w:val="34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decreto de autorização, em se tratando de sociedade empresária estrangeira em funcionamento no País;</w:t>
      </w:r>
    </w:p>
    <w:p>
      <w:pPr>
        <w:pStyle w:val="ListParagraph"/>
        <w:numPr>
          <w:ilvl w:val="2"/>
          <w:numId w:val="34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documentos acima deverão estar acompanhados de todas as alterações ou da consolidação respectiva</w:t>
      </w:r>
      <w:r>
        <w:rPr>
          <w:rFonts w:cs="Arial" w:ascii="Calibri" w:hAnsi="Calibri"/>
          <w:bCs/>
          <w:i w:val="false"/>
          <w:iCs w:val="false"/>
          <w:color w:val="000000"/>
          <w:sz w:val="24"/>
          <w:szCs w:val="24"/>
          <w:shd w:fill="auto" w:val="clear"/>
        </w:rPr>
        <w:t>;</w:t>
      </w:r>
    </w:p>
    <w:p>
      <w:pPr>
        <w:pStyle w:val="ListParagraph"/>
        <w:numPr>
          <w:ilvl w:val="1"/>
          <w:numId w:val="34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Regularidade fiscal e trabalhista:</w:t>
      </w:r>
    </w:p>
    <w:p>
      <w:pPr>
        <w:pStyle w:val="ListParagraph"/>
        <w:numPr>
          <w:ilvl w:val="2"/>
          <w:numId w:val="347"/>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prova de inscrição no Cadastro Nacional de Pessoas Jurídicas ou no Cadastro de Pessoas Físicas, conforme o caso;</w:t>
      </w:r>
    </w:p>
    <w:p>
      <w:pPr>
        <w:pStyle w:val="ListParagraph"/>
        <w:numPr>
          <w:ilvl w:val="2"/>
          <w:numId w:val="348"/>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ListParagraph"/>
        <w:numPr>
          <w:ilvl w:val="2"/>
          <w:numId w:val="349"/>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prova de regularidade com o Fundo de Garantia do Tempo de Serviço (FGTS);</w:t>
      </w:r>
    </w:p>
    <w:p>
      <w:pPr>
        <w:pStyle w:val="ListParagraph"/>
        <w:numPr>
          <w:ilvl w:val="2"/>
          <w:numId w:val="350"/>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numPr>
          <w:ilvl w:val="2"/>
          <w:numId w:val="351"/>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 xml:space="preserve">prova de inscrição no cadastro de contribuintes estadual, relativo ao domicílio ou sede do licitante, pertinente ao seu ramo de atividade e compatível com o objeto contratual; </w:t>
      </w:r>
    </w:p>
    <w:p>
      <w:pPr>
        <w:pStyle w:val="ListParagraph"/>
        <w:numPr>
          <w:ilvl w:val="2"/>
          <w:numId w:val="35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prova de regularidade com a Fazenda Estadual do domicílio ou sede do licitante, relativa à atividade em cujo exercício contrata ou concorre;</w:t>
      </w:r>
    </w:p>
    <w:p>
      <w:pPr>
        <w:pStyle w:val="ListParagraph"/>
        <w:numPr>
          <w:ilvl w:val="2"/>
          <w:numId w:val="353"/>
        </w:numPr>
        <w:tabs>
          <w:tab w:val="clear" w:pos="708"/>
          <w:tab w:val="left" w:pos="1440" w:leader="none"/>
        </w:tabs>
        <w:snapToGrid w:val="false"/>
        <w:spacing w:lineRule="auto" w:line="240" w:before="0" w:after="0"/>
        <w:ind w:left="1134" w:hanging="504"/>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caso o licitante seja considerado isento dos tributos estaduais relacionados ao objeto licitatório, deverá comprovar tal condição mediante a apresentação de declaração da Fazenda Estadual do seu domicílio ou sede, ou outra equivalente, na forma da lei; </w:t>
      </w:r>
    </w:p>
    <w:p>
      <w:pPr>
        <w:pStyle w:val="ListParagraph"/>
        <w:numPr>
          <w:ilvl w:val="0"/>
          <w:numId w:val="0"/>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ListParagraph"/>
        <w:numPr>
          <w:ilvl w:val="1"/>
          <w:numId w:val="35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Qualificação  Econômico-Financeira</w:t>
      </w:r>
      <w:r>
        <w:rPr>
          <w:rFonts w:cs="Arial" w:ascii="Calibri" w:hAnsi="Calibri"/>
          <w:i w:val="false"/>
          <w:iCs w:val="false"/>
          <w:color w:val="000000"/>
          <w:sz w:val="24"/>
          <w:szCs w:val="24"/>
          <w:shd w:fill="auto" w:val="clear"/>
        </w:rPr>
        <w:t>.</w:t>
      </w:r>
    </w:p>
    <w:p>
      <w:pPr>
        <w:pStyle w:val="ListParagraph"/>
        <w:numPr>
          <w:ilvl w:val="2"/>
          <w:numId w:val="35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certidão negativa de falência expedida pelo distribuidor da sede do licitante;</w:t>
      </w:r>
    </w:p>
    <w:p>
      <w:pPr>
        <w:pStyle w:val="ListParagraph"/>
        <w:numPr>
          <w:ilvl w:val="2"/>
          <w:numId w:val="35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pPr>
        <w:pStyle w:val="ListParagraph"/>
        <w:numPr>
          <w:ilvl w:val="3"/>
          <w:numId w:val="357"/>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No caso de fornecimento de bens para pronta entrega, não será exigido da licitante qualificada como microempresa ou empresa de pequeno porte, a apresentação de balanço patrimonial do último exercício financeiro. (Art. 3º do Decreto nº 8.538, de 2015);</w:t>
      </w:r>
    </w:p>
    <w:p>
      <w:pPr>
        <w:pStyle w:val="ListParagraph"/>
        <w:numPr>
          <w:ilvl w:val="3"/>
          <w:numId w:val="358"/>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no caso de empresa constituída no exercício social vigente, admite-se a apresentação de balanço patrimonial e demonstrações contábeis referentes ao período de existência da sociedade;</w:t>
      </w:r>
    </w:p>
    <w:p>
      <w:pPr>
        <w:pStyle w:val="ListParagraph"/>
        <w:numPr>
          <w:ilvl w:val="3"/>
          <w:numId w:val="359"/>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é admissível o balanço intermediário, se decorrer de lei ou contrato social/estatuto social.</w:t>
      </w:r>
    </w:p>
    <w:p>
      <w:pPr>
        <w:pStyle w:val="ListParagraph"/>
        <w:numPr>
          <w:ilvl w:val="2"/>
          <w:numId w:val="36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comprovação da boa situação financeira da empresa será constatada mediante obtenção de índices de Liquidez Geral (LG), Solvência Geral (SG) e Liquidez Corrente (LC), superiores a 1 ( um), obtidos  pela  aplicação das seguintes fórmulas:</w:t>
      </w:r>
    </w:p>
    <w:tbl>
      <w:tblPr>
        <w:tblStyle w:val="Tabelacomgrade"/>
        <w:tblW w:w="6487"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tcBorders>
            <w:vAlign w:val="center"/>
          </w:tcPr>
          <w:p>
            <w:pPr>
              <w:pStyle w:val="Normal"/>
              <w:widowControl w:val="false"/>
              <w:tabs>
                <w:tab w:val="clear" w:pos="708"/>
                <w:tab w:val="left" w:pos="1440" w:leader="none"/>
              </w:tabs>
              <w:suppressAutoHyphens w:val="true"/>
              <w:snapToGrid w:val="false"/>
              <w:spacing w:lineRule="auto" w:line="240" w:before="0" w:after="0"/>
              <w:contextualSpacing/>
              <w:jc w:val="right"/>
              <w:rPr>
                <w:rFonts w:ascii="Calibri" w:hAnsi="Calibri" w:cs="Arial"/>
                <w:i w:val="false"/>
                <w:i w:val="false"/>
                <w:iCs w:val="false"/>
                <w:color w:val="000000"/>
                <w:sz w:val="24"/>
                <w:szCs w:val="24"/>
                <w:shd w:fill="auto" w:val="clear"/>
              </w:rPr>
            </w:pPr>
            <w:r>
              <w:rPr>
                <w:rFonts w:eastAsia="ＭＳ 明朝" w:cs="Arial" w:ascii="Calibri" w:hAnsi="Calibri"/>
                <w:i w:val="false"/>
                <w:iCs w:val="false"/>
                <w:color w:val="000000"/>
                <w:kern w:val="0"/>
                <w:sz w:val="24"/>
                <w:szCs w:val="24"/>
                <w:shd w:fill="auto" w:val="clear"/>
                <w:lang w:val="pt-BR" w:bidi="ar-SA"/>
              </w:rPr>
              <w:t>LG =</w:t>
            </w:r>
          </w:p>
        </w:tc>
        <w:tc>
          <w:tcPr>
            <w:tcW w:w="4252" w:type="dxa"/>
            <w:tcBorders>
              <w:top w:val="nil"/>
              <w:left w:val="nil"/>
              <w:right w:val="nil"/>
            </w:tcBorders>
            <w:vAlign w:val="bottom"/>
          </w:tcPr>
          <w:p>
            <w:pPr>
              <w:pStyle w:val="Normal"/>
              <w:widowControl w:val="false"/>
              <w:tabs>
                <w:tab w:val="clear" w:pos="708"/>
                <w:tab w:val="left" w:pos="1440" w:leader="none"/>
              </w:tabs>
              <w:suppressAutoHyphens w:val="true"/>
              <w:snapToGrid w:val="false"/>
              <w:spacing w:lineRule="auto" w:line="240" w:before="0" w:after="0"/>
              <w:contextualSpacing/>
              <w:jc w:val="left"/>
              <w:rPr>
                <w:rFonts w:ascii="Calibri" w:hAnsi="Calibri" w:cs="Arial"/>
                <w:i w:val="false"/>
                <w:i w:val="false"/>
                <w:iCs w:val="false"/>
                <w:color w:val="000000"/>
                <w:sz w:val="24"/>
                <w:szCs w:val="24"/>
                <w:shd w:fill="auto" w:val="clear"/>
              </w:rPr>
            </w:pPr>
            <w:r>
              <w:rPr>
                <w:rFonts w:cs="Arial" w:ascii="Calibri" w:hAnsi="Calibri"/>
                <w:i w:val="false"/>
                <w:iCs w:val="false"/>
                <w:color w:val="000000"/>
                <w:kern w:val="0"/>
                <w:sz w:val="24"/>
                <w:szCs w:val="24"/>
                <w:shd w:fill="auto" w:val="clear"/>
                <w:lang w:val="pt-BR" w:bidi="ar-SA"/>
              </w:rPr>
              <w:t>Ativo Circulante + Realizável a Longo Prazo</w:t>
            </w:r>
          </w:p>
        </w:tc>
      </w:tr>
      <w:tr>
        <w:trPr/>
        <w:tc>
          <w:tcPr>
            <w:tcW w:w="2234" w:type="dxa"/>
            <w:vMerge w:val="continue"/>
            <w:tcBorders>
              <w:top w:val="nil"/>
              <w:left w:val="nil"/>
              <w:bottom w:val="nil"/>
              <w:right w:val="nil"/>
            </w:tcBorders>
          </w:tcPr>
          <w:p>
            <w:pPr>
              <w:pStyle w:val="Normal"/>
              <w:widowControl w:val="false"/>
              <w:tabs>
                <w:tab w:val="clear" w:pos="708"/>
                <w:tab w:val="left" w:pos="1440" w:leader="none"/>
              </w:tabs>
              <w:suppressAutoHyphens w:val="true"/>
              <w:snapToGrid w:val="false"/>
              <w:spacing w:lineRule="auto" w:line="240" w:before="0" w:after="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tc>
        <w:tc>
          <w:tcPr>
            <w:tcW w:w="4252" w:type="dxa"/>
            <w:tcBorders>
              <w:left w:val="nil"/>
              <w:bottom w:val="nil"/>
              <w:right w:val="nil"/>
            </w:tcBorders>
          </w:tcPr>
          <w:p>
            <w:pPr>
              <w:pStyle w:val="Normal"/>
              <w:widowControl w:val="false"/>
              <w:tabs>
                <w:tab w:val="clear" w:pos="708"/>
                <w:tab w:val="left" w:pos="1440" w:leader="none"/>
              </w:tabs>
              <w:suppressAutoHyphens w:val="true"/>
              <w:snapToGrid w:val="false"/>
              <w:spacing w:lineRule="auto" w:line="240" w:before="0" w:after="0"/>
              <w:contextualSpacing/>
              <w:jc w:val="left"/>
              <w:rPr>
                <w:rFonts w:ascii="Calibri" w:hAnsi="Calibri" w:cs="Arial"/>
                <w:i w:val="false"/>
                <w:i w:val="false"/>
                <w:iCs w:val="false"/>
                <w:color w:val="000000"/>
                <w:sz w:val="24"/>
                <w:szCs w:val="24"/>
                <w:shd w:fill="auto" w:val="clear"/>
              </w:rPr>
            </w:pPr>
            <w:r>
              <w:rPr>
                <w:rFonts w:cs="Arial" w:ascii="Calibri" w:hAnsi="Calibri"/>
                <w:i w:val="false"/>
                <w:iCs w:val="false"/>
                <w:color w:val="000000"/>
                <w:kern w:val="0"/>
                <w:sz w:val="24"/>
                <w:szCs w:val="24"/>
                <w:shd w:fill="auto" w:val="clear"/>
                <w:lang w:val="pt-BR" w:bidi="ar-SA"/>
              </w:rPr>
              <w:t>Passivo Circulante + Passivo Não Circulante</w:t>
            </w:r>
          </w:p>
        </w:tc>
      </w:tr>
    </w:tbl>
    <w:p>
      <w:pPr>
        <w:pStyle w:val="Normal"/>
        <w:tabs>
          <w:tab w:val="clear" w:pos="708"/>
          <w:tab w:val="left" w:pos="1440" w:leader="none"/>
        </w:tabs>
        <w:snapToGrid w:val="false"/>
        <w:spacing w:lineRule="auto" w:line="240" w:before="0" w:after="0"/>
        <w:ind w:left="1134" w:hanging="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tbl>
      <w:tblPr>
        <w:tblStyle w:val="Tabelacomgrade"/>
        <w:tblW w:w="6629"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5"/>
        <w:gridCol w:w="4393"/>
      </w:tblGrid>
      <w:tr>
        <w:trPr/>
        <w:tc>
          <w:tcPr>
            <w:tcW w:w="2235" w:type="dxa"/>
            <w:vMerge w:val="restart"/>
            <w:tcBorders>
              <w:top w:val="nil"/>
              <w:left w:val="nil"/>
              <w:bottom w:val="nil"/>
              <w:right w:val="nil"/>
            </w:tcBorders>
            <w:vAlign w:val="center"/>
          </w:tcPr>
          <w:p>
            <w:pPr>
              <w:pStyle w:val="Normal"/>
              <w:widowControl w:val="false"/>
              <w:tabs>
                <w:tab w:val="clear" w:pos="708"/>
                <w:tab w:val="left" w:pos="1440" w:leader="none"/>
              </w:tabs>
              <w:suppressAutoHyphens w:val="true"/>
              <w:snapToGrid w:val="false"/>
              <w:spacing w:lineRule="auto" w:line="240" w:before="0" w:after="0"/>
              <w:contextualSpacing/>
              <w:jc w:val="right"/>
              <w:rPr>
                <w:rFonts w:ascii="Calibri" w:hAnsi="Calibri" w:cs="Arial"/>
                <w:i w:val="false"/>
                <w:i w:val="false"/>
                <w:iCs w:val="false"/>
                <w:color w:val="000000"/>
                <w:sz w:val="24"/>
                <w:szCs w:val="24"/>
                <w:shd w:fill="auto" w:val="clear"/>
              </w:rPr>
            </w:pPr>
            <w:r>
              <w:rPr>
                <w:rFonts w:eastAsia="ＭＳ 明朝" w:cs="Arial" w:ascii="Calibri" w:hAnsi="Calibri"/>
                <w:i w:val="false"/>
                <w:iCs w:val="false"/>
                <w:color w:val="000000"/>
                <w:kern w:val="0"/>
                <w:sz w:val="24"/>
                <w:szCs w:val="24"/>
                <w:shd w:fill="auto" w:val="clear"/>
                <w:lang w:val="pt-BR" w:bidi="ar-SA"/>
              </w:rPr>
              <w:t>SG =</w:t>
            </w:r>
          </w:p>
        </w:tc>
        <w:tc>
          <w:tcPr>
            <w:tcW w:w="4393" w:type="dxa"/>
            <w:tcBorders>
              <w:top w:val="nil"/>
              <w:left w:val="nil"/>
              <w:right w:val="nil"/>
            </w:tcBorders>
            <w:vAlign w:val="bottom"/>
          </w:tcPr>
          <w:p>
            <w:pPr>
              <w:pStyle w:val="Normal"/>
              <w:widowControl w:val="false"/>
              <w:tabs>
                <w:tab w:val="clear" w:pos="708"/>
                <w:tab w:val="left" w:pos="1440" w:leader="none"/>
              </w:tabs>
              <w:suppressAutoHyphens w:val="true"/>
              <w:snapToGrid w:val="false"/>
              <w:spacing w:lineRule="auto" w:line="240" w:before="0" w:after="0"/>
              <w:contextualSpacing/>
              <w:jc w:val="center"/>
              <w:rPr>
                <w:rFonts w:ascii="Calibri" w:hAnsi="Calibri" w:cs="Arial"/>
                <w:i w:val="false"/>
                <w:i w:val="false"/>
                <w:iCs w:val="false"/>
                <w:color w:val="000000"/>
                <w:sz w:val="24"/>
                <w:szCs w:val="24"/>
                <w:shd w:fill="auto" w:val="clear"/>
              </w:rPr>
            </w:pPr>
            <w:r>
              <w:rPr>
                <w:rFonts w:cs="Arial" w:ascii="Calibri" w:hAnsi="Calibri"/>
                <w:i w:val="false"/>
                <w:iCs w:val="false"/>
                <w:color w:val="000000"/>
                <w:kern w:val="0"/>
                <w:sz w:val="24"/>
                <w:szCs w:val="24"/>
                <w:shd w:fill="auto" w:val="clear"/>
                <w:lang w:val="pt-BR" w:bidi="ar-SA"/>
              </w:rPr>
              <w:t>Ativo Total</w:t>
            </w:r>
          </w:p>
        </w:tc>
      </w:tr>
      <w:tr>
        <w:trPr/>
        <w:tc>
          <w:tcPr>
            <w:tcW w:w="2235" w:type="dxa"/>
            <w:vMerge w:val="continue"/>
            <w:tcBorders>
              <w:top w:val="nil"/>
              <w:left w:val="nil"/>
              <w:bottom w:val="nil"/>
              <w:right w:val="nil"/>
            </w:tcBorders>
          </w:tcPr>
          <w:p>
            <w:pPr>
              <w:pStyle w:val="Normal"/>
              <w:widowControl w:val="false"/>
              <w:tabs>
                <w:tab w:val="clear" w:pos="708"/>
                <w:tab w:val="left" w:pos="1440" w:leader="none"/>
              </w:tabs>
              <w:suppressAutoHyphens w:val="true"/>
              <w:snapToGrid w:val="false"/>
              <w:spacing w:lineRule="auto" w:line="240" w:before="0" w:after="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tc>
        <w:tc>
          <w:tcPr>
            <w:tcW w:w="4393" w:type="dxa"/>
            <w:tcBorders>
              <w:left w:val="nil"/>
              <w:bottom w:val="nil"/>
              <w:right w:val="nil"/>
            </w:tcBorders>
          </w:tcPr>
          <w:p>
            <w:pPr>
              <w:pStyle w:val="Normal"/>
              <w:widowControl w:val="false"/>
              <w:tabs>
                <w:tab w:val="clear" w:pos="708"/>
                <w:tab w:val="left" w:pos="1440" w:leader="none"/>
              </w:tabs>
              <w:suppressAutoHyphens w:val="true"/>
              <w:snapToGrid w:val="false"/>
              <w:spacing w:lineRule="auto" w:line="240" w:before="0" w:after="0"/>
              <w:contextualSpacing/>
              <w:jc w:val="center"/>
              <w:rPr>
                <w:rFonts w:ascii="Calibri" w:hAnsi="Calibri" w:cs="Arial"/>
                <w:i w:val="false"/>
                <w:i w:val="false"/>
                <w:iCs w:val="false"/>
                <w:color w:val="000000"/>
                <w:sz w:val="24"/>
                <w:szCs w:val="24"/>
                <w:shd w:fill="auto" w:val="clear"/>
              </w:rPr>
            </w:pPr>
            <w:r>
              <w:rPr>
                <w:rFonts w:cs="Arial" w:ascii="Calibri" w:hAnsi="Calibri"/>
                <w:i w:val="false"/>
                <w:iCs w:val="false"/>
                <w:color w:val="000000"/>
                <w:kern w:val="0"/>
                <w:sz w:val="24"/>
                <w:szCs w:val="24"/>
                <w:shd w:fill="auto" w:val="clear"/>
                <w:lang w:val="pt-BR" w:bidi="ar-SA"/>
              </w:rPr>
              <w:t>Passivo Circulante + Passivo Não Circulante</w:t>
            </w:r>
          </w:p>
        </w:tc>
      </w:tr>
    </w:tbl>
    <w:p>
      <w:pPr>
        <w:pStyle w:val="Normal"/>
        <w:tabs>
          <w:tab w:val="clear" w:pos="708"/>
          <w:tab w:val="left" w:pos="1440" w:leader="none"/>
        </w:tabs>
        <w:snapToGrid w:val="false"/>
        <w:spacing w:lineRule="auto" w:line="240" w:before="0" w:after="0"/>
        <w:ind w:left="1134" w:hanging="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tbl>
      <w:tblPr>
        <w:tblStyle w:val="Tabelacomgrade"/>
        <w:tblW w:w="4786"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tcBorders>
            <w:vAlign w:val="center"/>
          </w:tcPr>
          <w:p>
            <w:pPr>
              <w:pStyle w:val="Normal"/>
              <w:widowControl w:val="false"/>
              <w:tabs>
                <w:tab w:val="clear" w:pos="708"/>
                <w:tab w:val="left" w:pos="1440" w:leader="none"/>
              </w:tabs>
              <w:suppressAutoHyphens w:val="true"/>
              <w:snapToGrid w:val="false"/>
              <w:spacing w:lineRule="auto" w:line="240" w:before="0" w:after="0"/>
              <w:contextualSpacing/>
              <w:jc w:val="right"/>
              <w:rPr>
                <w:rFonts w:ascii="Calibri" w:hAnsi="Calibri" w:cs="Arial"/>
                <w:i w:val="false"/>
                <w:i w:val="false"/>
                <w:iCs w:val="false"/>
                <w:color w:val="000000"/>
                <w:sz w:val="24"/>
                <w:szCs w:val="24"/>
                <w:shd w:fill="auto" w:val="clear"/>
              </w:rPr>
            </w:pPr>
            <w:r>
              <w:rPr>
                <w:rFonts w:eastAsia="ＭＳ 明朝" w:cs="Arial" w:ascii="Calibri" w:hAnsi="Calibri"/>
                <w:i w:val="false"/>
                <w:iCs w:val="false"/>
                <w:color w:val="000000"/>
                <w:kern w:val="0"/>
                <w:sz w:val="24"/>
                <w:szCs w:val="24"/>
                <w:shd w:fill="auto" w:val="clear"/>
                <w:lang w:val="pt-BR" w:bidi="ar-SA"/>
              </w:rPr>
              <w:t>LC =</w:t>
            </w:r>
          </w:p>
        </w:tc>
        <w:tc>
          <w:tcPr>
            <w:tcW w:w="2550" w:type="dxa"/>
            <w:tcBorders>
              <w:top w:val="nil"/>
              <w:left w:val="nil"/>
              <w:right w:val="nil"/>
            </w:tcBorders>
            <w:vAlign w:val="bottom"/>
          </w:tcPr>
          <w:p>
            <w:pPr>
              <w:pStyle w:val="Normal"/>
              <w:widowControl w:val="false"/>
              <w:tabs>
                <w:tab w:val="clear" w:pos="708"/>
                <w:tab w:val="left" w:pos="1440" w:leader="none"/>
              </w:tabs>
              <w:suppressAutoHyphens w:val="true"/>
              <w:snapToGrid w:val="false"/>
              <w:spacing w:lineRule="auto" w:line="240" w:before="0" w:after="0"/>
              <w:contextualSpacing/>
              <w:jc w:val="center"/>
              <w:rPr>
                <w:rFonts w:ascii="Calibri" w:hAnsi="Calibri" w:cs="Arial"/>
                <w:i w:val="false"/>
                <w:i w:val="false"/>
                <w:iCs w:val="false"/>
                <w:color w:val="000000"/>
                <w:sz w:val="24"/>
                <w:szCs w:val="24"/>
                <w:shd w:fill="auto" w:val="clear"/>
              </w:rPr>
            </w:pPr>
            <w:r>
              <w:rPr>
                <w:rFonts w:cs="Arial" w:ascii="Calibri" w:hAnsi="Calibri"/>
                <w:i w:val="false"/>
                <w:iCs w:val="false"/>
                <w:color w:val="000000"/>
                <w:kern w:val="0"/>
                <w:sz w:val="24"/>
                <w:szCs w:val="24"/>
                <w:shd w:fill="auto" w:val="clear"/>
                <w:lang w:val="pt-BR" w:bidi="ar-SA"/>
              </w:rPr>
              <w:t>Ativo Circulante</w:t>
            </w:r>
          </w:p>
        </w:tc>
      </w:tr>
      <w:tr>
        <w:trPr/>
        <w:tc>
          <w:tcPr>
            <w:tcW w:w="2235" w:type="dxa"/>
            <w:vMerge w:val="continue"/>
            <w:tcBorders>
              <w:top w:val="nil"/>
              <w:left w:val="nil"/>
              <w:bottom w:val="nil"/>
              <w:right w:val="nil"/>
            </w:tcBorders>
          </w:tcPr>
          <w:p>
            <w:pPr>
              <w:pStyle w:val="Normal"/>
              <w:widowControl w:val="false"/>
              <w:tabs>
                <w:tab w:val="clear" w:pos="708"/>
                <w:tab w:val="left" w:pos="1440" w:leader="none"/>
              </w:tabs>
              <w:suppressAutoHyphens w:val="true"/>
              <w:snapToGrid w:val="false"/>
              <w:spacing w:lineRule="auto" w:line="240" w:before="0" w:after="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tc>
        <w:tc>
          <w:tcPr>
            <w:tcW w:w="2550" w:type="dxa"/>
            <w:tcBorders>
              <w:left w:val="nil"/>
              <w:bottom w:val="nil"/>
              <w:right w:val="nil"/>
            </w:tcBorders>
          </w:tcPr>
          <w:p>
            <w:pPr>
              <w:pStyle w:val="Normal"/>
              <w:widowControl w:val="false"/>
              <w:tabs>
                <w:tab w:val="clear" w:pos="708"/>
                <w:tab w:val="left" w:pos="1440" w:leader="none"/>
              </w:tabs>
              <w:suppressAutoHyphens w:val="true"/>
              <w:snapToGrid w:val="false"/>
              <w:spacing w:lineRule="auto" w:line="240" w:before="0" w:after="0"/>
              <w:contextualSpacing/>
              <w:jc w:val="center"/>
              <w:rPr>
                <w:rFonts w:ascii="Calibri" w:hAnsi="Calibri" w:cs="Arial"/>
                <w:i w:val="false"/>
                <w:i w:val="false"/>
                <w:iCs w:val="false"/>
                <w:color w:val="000000"/>
                <w:sz w:val="24"/>
                <w:szCs w:val="24"/>
                <w:shd w:fill="auto" w:val="clear"/>
              </w:rPr>
            </w:pPr>
            <w:r>
              <w:rPr>
                <w:rFonts w:cs="Arial" w:ascii="Calibri" w:hAnsi="Calibri"/>
                <w:i w:val="false"/>
                <w:iCs w:val="false"/>
                <w:color w:val="000000"/>
                <w:kern w:val="0"/>
                <w:sz w:val="24"/>
                <w:szCs w:val="24"/>
                <w:shd w:fill="auto" w:val="clear"/>
                <w:lang w:val="pt-BR" w:bidi="ar-SA"/>
              </w:rPr>
              <w:t>Passivo Circulante</w:t>
            </w:r>
          </w:p>
        </w:tc>
      </w:tr>
    </w:tbl>
    <w:p>
      <w:pPr>
        <w:pStyle w:val="Normal"/>
        <w:tabs>
          <w:tab w:val="clear" w:pos="708"/>
          <w:tab w:val="left" w:pos="1440" w:leader="none"/>
        </w:tabs>
        <w:snapToGrid w:val="false"/>
        <w:spacing w:lineRule="auto" w:line="240" w:before="0" w:after="0"/>
        <w:ind w:left="1134" w:hanging="0"/>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p>
      <w:pPr>
        <w:pStyle w:val="ListParagraph"/>
        <w:numPr>
          <w:ilvl w:val="3"/>
          <w:numId w:val="361"/>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 xml:space="preserve">As empresas que apresentarem resultado inferior ou igual a 1(um) em qualquer dos índices de Liquidez Geral (LG), Solvência Geral (SG) e Liquidez Corrente (LC), deverão comprovar patrimônio líquido de ...(....) do valor total estimado da contratação ou do item pertinente. </w:t>
      </w:r>
    </w:p>
    <w:p>
      <w:pPr>
        <w:pStyle w:val="ListParagraph"/>
        <w:numPr>
          <w:ilvl w:val="1"/>
          <w:numId w:val="36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Qualificação Técnica</w:t>
      </w:r>
      <w:r>
        <w:rPr>
          <w:rFonts w:cs="Arial" w:ascii="Calibri" w:hAnsi="Calibri"/>
          <w:b/>
          <w:bCs/>
          <w:i w:val="false"/>
          <w:iCs w:val="false"/>
          <w:color w:val="000000"/>
          <w:sz w:val="24"/>
          <w:szCs w:val="24"/>
          <w:shd w:fill="auto" w:val="clear"/>
        </w:rPr>
        <w:t>:</w:t>
      </w:r>
    </w:p>
    <w:p>
      <w:pPr>
        <w:pStyle w:val="ListParagraph"/>
        <w:numPr>
          <w:ilvl w:val="2"/>
          <w:numId w:val="363"/>
        </w:numPr>
        <w:spacing w:lineRule="auto" w:line="240" w:before="0" w:after="0"/>
        <w:contextualSpacing/>
        <w:jc w:val="both"/>
        <w:rPr>
          <w:rFonts w:ascii="Calibri" w:hAnsi="Calibri"/>
          <w:i w:val="false"/>
          <w:i w:val="false"/>
          <w:iCs w:val="false"/>
          <w:color w:val="000000"/>
          <w:sz w:val="24"/>
          <w:szCs w:val="24"/>
          <w:shd w:fill="auto" w:val="clear"/>
        </w:rPr>
      </w:pPr>
      <w:r>
        <w:rPr>
          <w:rFonts w:eastAsia="Arial" w:cs="Arial" w:ascii="Calibri" w:hAnsi="Calibri"/>
          <w:i w:val="false"/>
          <w:iCs w:val="false"/>
          <w:color w:val="000000"/>
          <w:sz w:val="24"/>
          <w:szCs w:val="24"/>
          <w:shd w:fill="auto" w:val="clear"/>
          <w:lang w:eastAsia="en-US"/>
        </w:rPr>
        <w:t>Os atestados de capacidade técnica podem ser apresentados em nome da matriz ou da filial da empresa licitante.</w:t>
      </w:r>
    </w:p>
    <w:p>
      <w:pPr>
        <w:pStyle w:val="ListParagraph"/>
        <w:numPr>
          <w:ilvl w:val="1"/>
          <w:numId w:val="36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licitante enquadrado como microempreendedor individual que pretenda auferir os benefícios do tratamento diferenciado previstos na Lei Complementar n. 123, de 2006, estará dispensado da prova de inscrição nos cadastros de contribuintes estadual e municipal.</w:t>
      </w:r>
    </w:p>
    <w:p>
      <w:pPr>
        <w:pStyle w:val="ListParagraph"/>
        <w:numPr>
          <w:ilvl w:val="1"/>
          <w:numId w:val="36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36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declaração do vencedor acontecerá no momento imediatamente posterior à fase de habilitação.</w:t>
      </w:r>
    </w:p>
    <w:p>
      <w:pPr>
        <w:pStyle w:val="ListParagraph"/>
        <w:numPr>
          <w:ilvl w:val="1"/>
          <w:numId w:val="367"/>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Caso a proposta mais vantajosa seja ofertada por </w:t>
      </w:r>
      <w:r>
        <w:rPr>
          <w:rFonts w:cs="Arial" w:ascii="Calibri" w:hAnsi="Calibri"/>
          <w:bCs/>
          <w:i w:val="false"/>
          <w:iCs w:val="false"/>
          <w:color w:val="000000"/>
          <w:sz w:val="24"/>
          <w:szCs w:val="24"/>
          <w:shd w:fill="auto" w:val="clear"/>
        </w:rPr>
        <w:t xml:space="preserve">licitante qualificada como </w:t>
      </w:r>
      <w:r>
        <w:rPr>
          <w:rFonts w:cs="Arial" w:ascii="Calibri" w:hAnsi="Calibri"/>
          <w:i w:val="false"/>
          <w:iCs w:val="false"/>
          <w:color w:val="000000"/>
          <w:sz w:val="24"/>
          <w:szCs w:val="24"/>
          <w:shd w:fill="auto" w:val="clear"/>
        </w:rPr>
        <w:t>microempresa</w:t>
      </w:r>
      <w:r>
        <w:rPr>
          <w:rFonts w:cs="Arial" w:ascii="Calibri" w:hAnsi="Calibri"/>
          <w:bCs/>
          <w:i w:val="false"/>
          <w:iCs w:val="false"/>
          <w:color w:val="000000"/>
          <w:sz w:val="24"/>
          <w:szCs w:val="24"/>
          <w:shd w:fill="auto" w:val="clear"/>
        </w:rPr>
        <w:t xml:space="preserve"> ou</w:t>
      </w:r>
      <w:r>
        <w:rPr>
          <w:rFonts w:cs="Arial" w:ascii="Calibri" w:hAnsi="Calibri"/>
          <w:i w:val="false"/>
          <w:iCs w:val="false"/>
          <w:color w:val="000000"/>
          <w:sz w:val="24"/>
          <w:szCs w:val="24"/>
          <w:shd w:fill="auto" w:val="clear"/>
        </w:rPr>
        <w:t xml:space="preserve">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368"/>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pPr>
        <w:pStyle w:val="ListParagraph"/>
        <w:numPr>
          <w:ilvl w:val="1"/>
          <w:numId w:val="369"/>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Havendo necessidade de analisar minuciosamente os documentos exigidos, o Pregoeiro suspenderá a sessão, informando no “chat” a nova data e horário para sua continuidade.</w:t>
      </w:r>
    </w:p>
    <w:p>
      <w:pPr>
        <w:pStyle w:val="ListParagraph"/>
        <w:numPr>
          <w:ilvl w:val="1"/>
          <w:numId w:val="37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Será inabilitado o licitante que não comprovar sua habilitação, seja por não apresentar quaisquer dos documentos exigidos para tanto, ou apresentá-los em desacordo com o estabelecido neste Edital.</w:t>
      </w:r>
    </w:p>
    <w:p>
      <w:pPr>
        <w:pStyle w:val="ListParagraph"/>
        <w:numPr>
          <w:ilvl w:val="1"/>
          <w:numId w:val="371"/>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pPr>
        <w:pStyle w:val="ListParagraph"/>
        <w:numPr>
          <w:ilvl w:val="1"/>
          <w:numId w:val="37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37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havendo a comprovação cumulativa dos requisitos de habilitação, a inabilitação recairá sobre o(s) item(ns) de menor(es) valor(es) cuja retirada(s) seja(m) suficiente(s) para a habilitação do licitante nos remanescentes.</w:t>
      </w:r>
    </w:p>
    <w:p>
      <w:pPr>
        <w:pStyle w:val="ListParagraph"/>
        <w:numPr>
          <w:ilvl w:val="1"/>
          <w:numId w:val="374"/>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Constatado o atendimento às exigências de habilitação fixadas no Edital, o licitante será declarado vencedor.</w:t>
      </w:r>
    </w:p>
    <w:p>
      <w:pPr>
        <w:pStyle w:val="ListParagraph"/>
        <w:numPr>
          <w:ilvl w:val="0"/>
          <w:numId w:val="0"/>
        </w:numPr>
        <w:spacing w:lineRule="auto" w:line="240" w:before="0" w:after="0"/>
        <w:ind w:left="1424"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ENCAMINHAMENTO DA PROPOSTA VENCEDORA</w:t>
      </w:r>
    </w:p>
    <w:p>
      <w:pPr>
        <w:pStyle w:val="ListParagraph"/>
        <w:numPr>
          <w:ilvl w:val="1"/>
          <w:numId w:val="375"/>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 proposta final do licitante declarado vencedor deverá ser encaminhada no prazo de </w:t>
      </w:r>
      <w:r>
        <w:rPr>
          <w:rFonts w:cs="Arial" w:ascii="Calibri" w:hAnsi="Calibri"/>
          <w:i w:val="false"/>
          <w:iCs w:val="false"/>
          <w:color w:val="000000"/>
          <w:sz w:val="24"/>
          <w:szCs w:val="24"/>
          <w:shd w:fill="auto" w:val="clear"/>
          <w:lang w:eastAsia="pt-BR"/>
        </w:rPr>
        <w:t>2</w:t>
      </w: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lang w:eastAsia="pt-BR"/>
        </w:rPr>
        <w:t>duas</w:t>
      </w:r>
      <w:r>
        <w:rPr>
          <w:rFonts w:cs="Arial" w:ascii="Calibri" w:hAnsi="Calibri"/>
          <w:i w:val="false"/>
          <w:iCs w:val="false"/>
          <w:color w:val="000000"/>
          <w:sz w:val="24"/>
          <w:szCs w:val="24"/>
          <w:shd w:fill="auto" w:val="clear"/>
        </w:rPr>
        <w:t xml:space="preserve">) </w:t>
      </w:r>
      <w:r>
        <w:rPr>
          <w:rFonts w:cs="Arial" w:ascii="Calibri" w:hAnsi="Calibri"/>
          <w:bCs/>
          <w:i w:val="false"/>
          <w:iCs w:val="false"/>
          <w:color w:val="000000"/>
          <w:sz w:val="24"/>
          <w:szCs w:val="24"/>
          <w:shd w:fill="auto" w:val="clear"/>
        </w:rPr>
        <w:t>horas</w:t>
      </w:r>
      <w:r>
        <w:rPr>
          <w:rFonts w:cs="Arial" w:ascii="Calibri" w:hAnsi="Calibri"/>
          <w:i w:val="false"/>
          <w:iCs w:val="false"/>
          <w:color w:val="000000"/>
          <w:sz w:val="24"/>
          <w:szCs w:val="24"/>
          <w:shd w:fill="auto" w:val="clear"/>
        </w:rPr>
        <w:t>,</w:t>
      </w:r>
      <w:r>
        <w:rPr>
          <w:rFonts w:cs="Arial" w:ascii="Calibri" w:hAnsi="Calibri"/>
          <w:b/>
          <w:bCs/>
          <w:i w:val="false"/>
          <w:iCs w:val="false"/>
          <w:color w:val="000000" w:themeTint="66"/>
          <w:sz w:val="24"/>
          <w:szCs w:val="24"/>
          <w:shd w:fill="auto" w:val="clear"/>
        </w:rPr>
        <w:t xml:space="preserve"> </w:t>
      </w:r>
      <w:r>
        <w:rPr>
          <w:rFonts w:cs="Arial" w:ascii="Calibri" w:hAnsi="Calibri"/>
          <w:i w:val="false"/>
          <w:iCs w:val="false"/>
          <w:color w:val="000000"/>
          <w:sz w:val="24"/>
          <w:szCs w:val="24"/>
          <w:shd w:fill="auto" w:val="clear"/>
        </w:rPr>
        <w:t>a contar da solicitação do Pregoeiro no sistema eletrônico e deverá:</w:t>
      </w:r>
    </w:p>
    <w:p>
      <w:pPr>
        <w:pStyle w:val="ListParagraph"/>
        <w:numPr>
          <w:ilvl w:val="2"/>
          <w:numId w:val="37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 redigida em língua portuguesa, datilografada ou digitada, em uma via, sem emendas, rasuras, entrelinhas ou ressalvas, devendo a última folha ser assinada e as demais rubricadas pelo licitante ou seu representante legal.</w:t>
      </w:r>
    </w:p>
    <w:p>
      <w:pPr>
        <w:pStyle w:val="ListParagraph"/>
        <w:numPr>
          <w:ilvl w:val="2"/>
          <w:numId w:val="37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conter a indicação do banco, número da conta e agência do licitante vencedor, para fins de pagamento.</w:t>
      </w:r>
    </w:p>
    <w:p>
      <w:pPr>
        <w:pStyle w:val="ListParagraph"/>
        <w:numPr>
          <w:ilvl w:val="1"/>
          <w:numId w:val="378"/>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proposta final deverá ser documentada nos autos e será levada em consideração no decorrer da execução do contrato e aplicação de eventual sanção à Contratada, se for o caso.</w:t>
      </w:r>
    </w:p>
    <w:p>
      <w:pPr>
        <w:pStyle w:val="ListParagraph"/>
        <w:numPr>
          <w:ilvl w:val="1"/>
          <w:numId w:val="379"/>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Todas as especificações do objeto contidas na proposta, tais como marca, modelo, tipo, fabricante e procedência, vinculam a Contratada.</w:t>
      </w:r>
    </w:p>
    <w:p>
      <w:pPr>
        <w:pStyle w:val="ListParagraph"/>
        <w:numPr>
          <w:ilvl w:val="1"/>
          <w:numId w:val="38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Os preços deverão ser expressos em moeda corrente nacional, o valor unitário em algarismos e o valor global em algarismos e por extenso (art. 5º da Lei nº 8.666/93).</w:t>
      </w:r>
    </w:p>
    <w:p>
      <w:pPr>
        <w:pStyle w:val="ListParagraph"/>
        <w:numPr>
          <w:ilvl w:val="2"/>
          <w:numId w:val="38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38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383"/>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384"/>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propostas que contenham a descrição do objeto, o valor e os documentos complementares estarão disponíveis na internet, após a homologação.</w:t>
      </w:r>
    </w:p>
    <w:p>
      <w:pPr>
        <w:pStyle w:val="ListParagraph"/>
        <w:numPr>
          <w:ilvl w:val="0"/>
          <w:numId w:val="0"/>
        </w:numPr>
        <w:spacing w:lineRule="auto" w:line="240" w:before="0" w:after="0"/>
        <w:ind w:left="1424"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DOS RECURSOS</w:t>
      </w:r>
    </w:p>
    <w:p>
      <w:pPr>
        <w:pStyle w:val="ListParagraph"/>
        <w:numPr>
          <w:ilvl w:val="1"/>
          <w:numId w:val="385"/>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386"/>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Havendo quem se manifeste, caberá ao Pregoeiro verificar a tempestividade e a existência de motivação da intenção de recorrer, para decidir se admite ou não o recurso, fundamentadamente.</w:t>
      </w:r>
    </w:p>
    <w:p>
      <w:pPr>
        <w:pStyle w:val="ListParagraph"/>
        <w:numPr>
          <w:ilvl w:val="2"/>
          <w:numId w:val="38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Nesse momento o Pregoeiro não adentrará no mérito recursal, mas apenas verificará as condições de admissibilidade do recurso.</w:t>
      </w:r>
    </w:p>
    <w:p>
      <w:pPr>
        <w:pStyle w:val="ListParagraph"/>
        <w:numPr>
          <w:ilvl w:val="2"/>
          <w:numId w:val="388"/>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A falta de manifestação motivada do licitante quanto à intenção de recorrer importará a decadência desse direito.</w:t>
      </w:r>
    </w:p>
    <w:p>
      <w:pPr>
        <w:pStyle w:val="ListParagraph"/>
        <w:numPr>
          <w:ilvl w:val="2"/>
          <w:numId w:val="389"/>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39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acolhimento do recurso invalida tão somente os atos insuscetíveis de aproveitamento. </w:t>
      </w:r>
    </w:p>
    <w:p>
      <w:pPr>
        <w:pStyle w:val="ListParagraph"/>
        <w:numPr>
          <w:ilvl w:val="1"/>
          <w:numId w:val="391"/>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autos do processo permanecerão com vista franqueada aos interessados, no endereço constante neste Edital.</w:t>
      </w:r>
    </w:p>
    <w:p>
      <w:pPr>
        <w:pStyle w:val="ListParagraph"/>
        <w:numPr>
          <w:ilvl w:val="0"/>
          <w:numId w:val="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ascii="Calibri" w:hAnsi="Calibri"/>
          <w:i w:val="false"/>
          <w:iCs w:val="false"/>
          <w:color w:val="000000"/>
          <w:sz w:val="24"/>
          <w:szCs w:val="24"/>
          <w:shd w:fill="auto" w:val="clear"/>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REABERTURA DA SESSÃO PÚBLICA</w:t>
      </w:r>
    </w:p>
    <w:p>
      <w:pPr>
        <w:pStyle w:val="ListParagraph"/>
        <w:numPr>
          <w:ilvl w:val="1"/>
          <w:numId w:val="39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sessão pública poderá ser reaberta:</w:t>
      </w:r>
    </w:p>
    <w:p>
      <w:pPr>
        <w:pStyle w:val="ListParagraph"/>
        <w:numPr>
          <w:ilvl w:val="2"/>
          <w:numId w:val="393"/>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ListParagraph"/>
        <w:numPr>
          <w:ilvl w:val="2"/>
          <w:numId w:val="394"/>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pPr>
        <w:pStyle w:val="ListParagraph"/>
        <w:numPr>
          <w:ilvl w:val="1"/>
          <w:numId w:val="395"/>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Todos os licitantes remanescentes deverão ser convocados para acompanhar a sessão reaberta.</w:t>
      </w:r>
    </w:p>
    <w:p>
      <w:pPr>
        <w:pStyle w:val="ListParagraph"/>
        <w:numPr>
          <w:ilvl w:val="2"/>
          <w:numId w:val="396"/>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A convocação se dará por meio do sistema eletrônico (“chat”), e-mail, de acordo com a fase do procedimento licitatório.</w:t>
      </w:r>
    </w:p>
    <w:p>
      <w:pPr>
        <w:pStyle w:val="ListParagraph"/>
        <w:numPr>
          <w:ilvl w:val="2"/>
          <w:numId w:val="397"/>
        </w:numPr>
        <w:spacing w:lineRule="auto" w:line="240" w:before="0" w:after="0"/>
        <w:contextualSpacing/>
        <w:jc w:val="both"/>
        <w:rPr>
          <w:rFonts w:ascii="Calibri" w:hAnsi="Calibri"/>
          <w:i w:val="false"/>
          <w:i w:val="false"/>
          <w:iCs w:val="false"/>
          <w:color w:val="000000"/>
          <w:sz w:val="24"/>
          <w:szCs w:val="24"/>
          <w:shd w:fill="auto" w:val="clear"/>
        </w:rPr>
      </w:pPr>
      <w:r>
        <w:rPr>
          <w:rFonts w:eastAsia="Times New Roman" w:cs="Arial" w:ascii="Calibri" w:hAnsi="Calibri"/>
          <w:i w:val="false"/>
          <w:iCs w:val="false"/>
          <w:color w:val="000000"/>
          <w:sz w:val="24"/>
          <w:szCs w:val="24"/>
          <w:shd w:fill="auto" w:val="clear"/>
        </w:rPr>
        <w:t>A convocação feita por e-mail dar-se-á de acordo com os dados contidos no SICAF, sendo responsabilidade do licitante manter seus dados cadastrais atualizados.</w:t>
      </w:r>
    </w:p>
    <w:p>
      <w:pPr>
        <w:pStyle w:val="ListParagraph"/>
        <w:numPr>
          <w:ilvl w:val="0"/>
          <w:numId w:val="0"/>
        </w:numPr>
        <w:spacing w:lineRule="auto" w:line="240" w:before="0" w:after="0"/>
        <w:ind w:left="2358" w:hanging="0"/>
        <w:contextualSpacing/>
        <w:jc w:val="both"/>
        <w:rPr>
          <w:rFonts w:eastAsia="Times New Roman" w:cs="Arial"/>
        </w:rPr>
      </w:pPr>
      <w:r>
        <w:rPr>
          <w:rFonts w:eastAsia="Times New Roman"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DA ADJUDICAÇÃO E HOMOLOGAÇÃO </w:t>
      </w:r>
    </w:p>
    <w:p>
      <w:pPr>
        <w:pStyle w:val="ListParagraph"/>
        <w:numPr>
          <w:ilvl w:val="1"/>
          <w:numId w:val="398"/>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399"/>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Após a fase recursal, constatada a regularidade dos atos praticados, a autoridade competente homologará o procedimento licitatório. </w:t>
      </w:r>
    </w:p>
    <w:p>
      <w:pPr>
        <w:pStyle w:val="ListParagraph"/>
        <w:numPr>
          <w:ilvl w:val="0"/>
          <w:numId w:val="0"/>
        </w:numPr>
        <w:spacing w:lineRule="auto" w:line="240" w:before="0" w:after="0"/>
        <w:ind w:left="1424"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DA GARANTIA DE EXECUÇÃO </w:t>
      </w:r>
    </w:p>
    <w:p>
      <w:pPr>
        <w:pStyle w:val="ListParagraph"/>
        <w:numPr>
          <w:ilvl w:val="1"/>
          <w:numId w:val="40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haverá exigência de garantia de execução para a presente contratação.</w:t>
      </w:r>
    </w:p>
    <w:p>
      <w:pPr>
        <w:pStyle w:val="ListParagraph"/>
        <w:numPr>
          <w:ilvl w:val="0"/>
          <w:numId w:val="0"/>
        </w:numPr>
        <w:spacing w:lineRule="auto" w:line="240" w:before="0" w:after="0"/>
        <w:ind w:left="1424"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DA GARANTIA CONTRATUAL DOS BENS </w:t>
      </w:r>
    </w:p>
    <w:p>
      <w:pPr>
        <w:pStyle w:val="ListParagraph"/>
        <w:numPr>
          <w:ilvl w:val="1"/>
          <w:numId w:val="40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Não haverá exigência de garantia contratual dos bens fornecidos na presente contratação.</w:t>
      </w:r>
    </w:p>
    <w:p>
      <w:pPr>
        <w:pStyle w:val="ListParagraph"/>
        <w:numPr>
          <w:ilvl w:val="0"/>
          <w:numId w:val="0"/>
        </w:numPr>
        <w:spacing w:lineRule="auto" w:line="240" w:before="0" w:after="0"/>
        <w:ind w:left="1719"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ATA DE REGISTRO DE PREÇOS</w:t>
      </w:r>
    </w:p>
    <w:p>
      <w:pPr>
        <w:pStyle w:val="ListParagraph"/>
        <w:numPr>
          <w:ilvl w:val="1"/>
          <w:numId w:val="40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Homologado o resultado da licitação, terá o adjudicatário o prazo de </w:t>
      </w:r>
      <w:r>
        <w:rPr>
          <w:rFonts w:eastAsia="ＭＳ 明朝" w:cs="Arial" w:ascii="Calibri" w:hAnsi="Calibri"/>
          <w:i w:val="false"/>
          <w:iCs w:val="false"/>
          <w:color w:val="000000"/>
          <w:kern w:val="0"/>
          <w:sz w:val="24"/>
          <w:szCs w:val="24"/>
          <w:shd w:fill="auto" w:val="clear"/>
          <w:lang w:val="pt-BR" w:eastAsia="pt-BR" w:bidi="ar-SA"/>
        </w:rPr>
        <w:t>5</w:t>
      </w:r>
      <w:r>
        <w:rPr>
          <w:rFonts w:cs="Arial" w:ascii="Calibri" w:hAnsi="Calibri"/>
          <w:i w:val="false"/>
          <w:iCs w:val="false"/>
          <w:color w:val="000000"/>
          <w:sz w:val="24"/>
          <w:szCs w:val="24"/>
          <w:shd w:fill="auto" w:val="clear"/>
        </w:rPr>
        <w:t xml:space="preserve"> (</w:t>
      </w:r>
      <w:r>
        <w:rPr>
          <w:rFonts w:eastAsia="ＭＳ 明朝" w:cs="Arial" w:ascii="Calibri" w:hAnsi="Calibri"/>
          <w:i w:val="false"/>
          <w:iCs w:val="false"/>
          <w:color w:val="000000"/>
          <w:kern w:val="0"/>
          <w:sz w:val="24"/>
          <w:szCs w:val="24"/>
          <w:shd w:fill="auto" w:val="clear"/>
          <w:lang w:val="pt-BR" w:eastAsia="pt-BR" w:bidi="ar-SA"/>
        </w:rPr>
        <w:t>cinco</w:t>
      </w:r>
      <w:r>
        <w:rPr>
          <w:rFonts w:cs="Arial" w:ascii="Calibri" w:hAnsi="Calibri"/>
          <w:i w:val="false"/>
          <w:iCs w:val="false"/>
          <w:color w:val="000000"/>
          <w:sz w:val="24"/>
          <w:szCs w:val="24"/>
          <w:shd w:fill="auto" w:val="clear"/>
        </w:rPr>
        <w:t xml:space="preserve">) dias, contados a partir da data de sua convocação, para assinar a Ata de Registro de Preços, cujo prazo de validade encontra-se nela fixado, sob pena de decair do direito à contratação, sem prejuízo das sanções previstas neste Edital. </w:t>
      </w:r>
    </w:p>
    <w:p>
      <w:pPr>
        <w:pStyle w:val="ListParagraph"/>
        <w:numPr>
          <w:ilvl w:val="1"/>
          <w:numId w:val="40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w:t>
      </w:r>
      <w:r>
        <w:rPr>
          <w:rFonts w:eastAsia="ＭＳ 明朝" w:cs="Arial" w:ascii="Calibri" w:hAnsi="Calibri"/>
          <w:i w:val="false"/>
          <w:iCs w:val="false"/>
          <w:color w:val="000000"/>
          <w:kern w:val="0"/>
          <w:sz w:val="24"/>
          <w:szCs w:val="24"/>
          <w:shd w:fill="auto" w:val="clear"/>
          <w:lang w:val="pt-BR" w:eastAsia="pt-BR" w:bidi="ar-SA"/>
        </w:rPr>
        <w:t>5</w:t>
      </w:r>
      <w:r>
        <w:rPr>
          <w:rFonts w:cs="Arial" w:ascii="Calibri" w:hAnsi="Calibri"/>
          <w:i w:val="false"/>
          <w:iCs w:val="false"/>
          <w:color w:val="000000"/>
          <w:sz w:val="24"/>
          <w:szCs w:val="24"/>
          <w:shd w:fill="auto" w:val="clear"/>
        </w:rPr>
        <w:t xml:space="preserve"> (</w:t>
      </w:r>
      <w:r>
        <w:rPr>
          <w:rFonts w:eastAsia="ＭＳ 明朝" w:cs="Arial" w:ascii="Calibri" w:hAnsi="Calibri"/>
          <w:i w:val="false"/>
          <w:iCs w:val="false"/>
          <w:color w:val="000000"/>
          <w:kern w:val="0"/>
          <w:sz w:val="24"/>
          <w:szCs w:val="24"/>
          <w:shd w:fill="auto" w:val="clear"/>
          <w:lang w:val="pt-BR" w:eastAsia="pt-BR" w:bidi="ar-SA"/>
        </w:rPr>
        <w:t>cinco</w:t>
      </w:r>
      <w:r>
        <w:rPr>
          <w:rFonts w:cs="Arial" w:ascii="Calibri" w:hAnsi="Calibri"/>
          <w:i w:val="false"/>
          <w:iCs w:val="false"/>
          <w:color w:val="000000"/>
          <w:sz w:val="24"/>
          <w:szCs w:val="24"/>
          <w:shd w:fill="auto" w:val="clear"/>
        </w:rPr>
        <w:t>) dias, a contar da data de seu recebimento.</w:t>
      </w:r>
    </w:p>
    <w:p>
      <w:pPr>
        <w:pStyle w:val="ListParagraph"/>
        <w:numPr>
          <w:ilvl w:val="1"/>
          <w:numId w:val="40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numPr>
          <w:ilvl w:val="1"/>
          <w:numId w:val="40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numPr>
          <w:ilvl w:val="2"/>
          <w:numId w:val="40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Será incluído na ata, sob a forma de anexo, o registro dos licitantes que aceitarem cotar os bens ou serviços com preços iguais aos do licitante vencedor na sequência da classificação do certame;</w:t>
      </w:r>
    </w:p>
    <w:p>
      <w:pPr>
        <w:pStyle w:val="ListParagraph"/>
        <w:numPr>
          <w:ilvl w:val="0"/>
          <w:numId w:val="0"/>
        </w:numPr>
        <w:spacing w:lineRule="auto" w:line="240" w:before="0" w:after="0"/>
        <w:ind w:left="2358"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TERMO DE CONTRATO OU INSTRUMENTO EQUIVALENTE</w:t>
      </w:r>
    </w:p>
    <w:p>
      <w:pPr>
        <w:pStyle w:val="ListParagraph"/>
        <w:numPr>
          <w:ilvl w:val="1"/>
          <w:numId w:val="40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Após a homologação da licitação, em sendo realizada a contratação, será firmado Termo de Contrato ou emitido instrumento equivalente.</w:t>
      </w:r>
    </w:p>
    <w:p>
      <w:pPr>
        <w:pStyle w:val="ListParagraph"/>
        <w:numPr>
          <w:ilvl w:val="1"/>
          <w:numId w:val="40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adjudicatário terá o prazo de </w:t>
      </w:r>
      <w:r>
        <w:rPr>
          <w:rFonts w:cs="Arial" w:ascii="Calibri" w:hAnsi="Calibri"/>
          <w:i w:val="false"/>
          <w:iCs w:val="false"/>
          <w:color w:val="000000"/>
          <w:sz w:val="24"/>
          <w:szCs w:val="24"/>
          <w:shd w:fill="auto" w:val="clear"/>
          <w:lang w:eastAsia="pt-BR"/>
        </w:rPr>
        <w:t>5</w:t>
      </w: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lang w:eastAsia="pt-BR"/>
        </w:rPr>
        <w:t>cinco</w:t>
      </w:r>
      <w:r>
        <w:rPr>
          <w:rFonts w:cs="Arial" w:ascii="Calibri" w:hAnsi="Calibri"/>
          <w:i w:val="false"/>
          <w:iCs w:val="false"/>
          <w:color w:val="000000"/>
          <w:sz w:val="24"/>
          <w:szCs w:val="24"/>
          <w:shd w:fill="auto" w:val="clear"/>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pPr>
        <w:pStyle w:val="ListParagraph"/>
        <w:numPr>
          <w:ilvl w:val="2"/>
          <w:numId w:val="40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a sistema de processo eletrônico para esse fim ou outro meio eletrônico, para que seja assinado e devolvido no prazo de </w:t>
      </w:r>
      <w:r>
        <w:rPr>
          <w:rFonts w:cs="Arial" w:ascii="Calibri" w:hAnsi="Calibri"/>
          <w:i w:val="false"/>
          <w:iCs w:val="false"/>
          <w:color w:val="000000"/>
          <w:sz w:val="24"/>
          <w:szCs w:val="24"/>
          <w:shd w:fill="auto" w:val="clear"/>
          <w:lang w:eastAsia="pt-BR"/>
        </w:rPr>
        <w:t>5</w:t>
      </w: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lang w:eastAsia="pt-BR"/>
        </w:rPr>
        <w:t>cinco</w:t>
      </w:r>
      <w:r>
        <w:rPr>
          <w:rFonts w:cs="Arial" w:ascii="Calibri" w:hAnsi="Calibri"/>
          <w:i w:val="false"/>
          <w:iCs w:val="false"/>
          <w:color w:val="000000"/>
          <w:sz w:val="24"/>
          <w:szCs w:val="24"/>
          <w:shd w:fill="auto" w:val="clear"/>
        </w:rPr>
        <w:t xml:space="preserve">) dias, a contar da data de seu recebimento ou da disponibilização do acesso ao sistema de processo eletrônico. </w:t>
      </w:r>
    </w:p>
    <w:p>
      <w:pPr>
        <w:pStyle w:val="ListParagraph"/>
        <w:numPr>
          <w:ilvl w:val="2"/>
          <w:numId w:val="41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prazo previsto no subitem anterior poderá ser prorrogado, por igual período, por solicitação justificada do adjudicatário e aceita pela Administração.</w:t>
      </w:r>
    </w:p>
    <w:p>
      <w:pPr>
        <w:pStyle w:val="ListParagraph"/>
        <w:numPr>
          <w:ilvl w:val="1"/>
          <w:numId w:val="41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Aceite da Nota de Empenho ou do instrumento equivalente, emitida à empresa adjudicada, implica no reconhecimento de que:</w:t>
      </w:r>
    </w:p>
    <w:p>
      <w:pPr>
        <w:pStyle w:val="ListParagraph"/>
        <w:numPr>
          <w:ilvl w:val="2"/>
          <w:numId w:val="41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referida Nota está substituindo o contrato, aplicando-se à relação de negócios ali estabelecida as disposições da Lei nº 8.666, de 1993;</w:t>
      </w:r>
    </w:p>
    <w:p>
      <w:pPr>
        <w:pStyle w:val="ListParagraph"/>
        <w:numPr>
          <w:ilvl w:val="2"/>
          <w:numId w:val="41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contratada se vincula à sua proposta e às previsões contidas no edital e seus anexos;</w:t>
      </w:r>
    </w:p>
    <w:p>
      <w:pPr>
        <w:pStyle w:val="ListParagraph"/>
        <w:numPr>
          <w:ilvl w:val="2"/>
          <w:numId w:val="41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contratada reconhece que as hipóteses de rescisão são aquelas previstas nos artigos 77 e 78 da Lei nº 8.666/93 e reconhece os direitos da Administração previstos nos artigos 79 e 80 da mesma Lei.</w:t>
      </w:r>
    </w:p>
    <w:p>
      <w:pPr>
        <w:pStyle w:val="ListParagraph"/>
        <w:numPr>
          <w:ilvl w:val="1"/>
          <w:numId w:val="41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 xml:space="preserve">O prazo de vigência da contratação é </w:t>
      </w:r>
      <w:r>
        <w:rPr>
          <w:rFonts w:eastAsia="Arial" w:cs="Arial" w:ascii="Calibri" w:hAnsi="Calibri"/>
          <w:bCs/>
          <w:i w:val="false"/>
          <w:iCs w:val="false"/>
          <w:color w:val="000000"/>
          <w:sz w:val="24"/>
          <w:szCs w:val="24"/>
          <w:shd w:fill="auto" w:val="clear"/>
        </w:rPr>
        <w:t xml:space="preserve">o estabelecido no Termo de Referência. </w:t>
      </w:r>
    </w:p>
    <w:p>
      <w:pPr>
        <w:pStyle w:val="ListParagraph"/>
        <w:numPr>
          <w:ilvl w:val="1"/>
          <w:numId w:val="41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pPr>
        <w:pStyle w:val="ListParagraph"/>
        <w:numPr>
          <w:ilvl w:val="2"/>
          <w:numId w:val="41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Nos casos em que houver necessidade de assinatura do instrumento de contrato, e o fornecedor não estiver inscrito no SICAF, este deverá proceder ao seu cadastramento, sem ônus, antes da contratação.</w:t>
      </w:r>
    </w:p>
    <w:p>
      <w:pPr>
        <w:pStyle w:val="ListParagraph"/>
        <w:numPr>
          <w:ilvl w:val="2"/>
          <w:numId w:val="41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Na hipótese de irregularidade do registro no SICAF, o contratado deverá regularizar a sua situação perante o cadastro no prazo de até 05 (cinco) dias úteis, sob pena de aplicação das penalidades previstas no edital e anexos.</w:t>
      </w:r>
    </w:p>
    <w:p>
      <w:pPr>
        <w:pStyle w:val="ListParagraph"/>
        <w:numPr>
          <w:ilvl w:val="1"/>
          <w:numId w:val="41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numPr>
          <w:ilvl w:val="1"/>
          <w:numId w:val="42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ListParagraph"/>
        <w:numPr>
          <w:ilvl w:val="0"/>
          <w:numId w:val="0"/>
        </w:numPr>
        <w:spacing w:lineRule="auto" w:line="240" w:before="0" w:after="0"/>
        <w:ind w:left="1719" w:hanging="0"/>
        <w:contextualSpacing/>
        <w:jc w:val="both"/>
        <w:rPr>
          <w:rFonts w:cs="Arial"/>
          <w:bCs/>
        </w:rPr>
      </w:pPr>
      <w:r>
        <w:rPr>
          <w:rFonts w:cs="Arial"/>
          <w:bCs/>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REAJUSTAMENTO EM SENTIDO GERAL</w:t>
      </w:r>
    </w:p>
    <w:p>
      <w:pPr>
        <w:pStyle w:val="ListParagraph"/>
        <w:numPr>
          <w:ilvl w:val="1"/>
          <w:numId w:val="421"/>
        </w:numPr>
        <w:spacing w:lineRule="auto" w:line="240" w:before="0" w:after="0"/>
        <w:ind w:left="800"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As regras acerca do reajustamento em sentido geral do valor contratual são as estabelecidas no Termo de Referência, anexo a este Edital.</w:t>
      </w:r>
    </w:p>
    <w:p>
      <w:pPr>
        <w:pStyle w:val="ListParagraph"/>
        <w:numPr>
          <w:ilvl w:val="0"/>
          <w:numId w:val="0"/>
        </w:numPr>
        <w:spacing w:lineRule="auto" w:line="240" w:before="0" w:after="0"/>
        <w:ind w:left="1367" w:hanging="0"/>
        <w:contextualSpacing/>
        <w:jc w:val="both"/>
        <w:rPr>
          <w:rFonts w:cs="Arial"/>
          <w:color w:themeColor="text1"/>
        </w:rPr>
      </w:pPr>
      <w:r>
        <w:rPr>
          <w:rFonts w:cs="Arial"/>
          <w:color w:themeColor="text1"/>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RECEBIMENTO DO OBJETO E DA FISCALIZAÇÃO</w:t>
      </w:r>
    </w:p>
    <w:p>
      <w:pPr>
        <w:pStyle w:val="ListParagraph"/>
        <w:numPr>
          <w:ilvl w:val="1"/>
          <w:numId w:val="422"/>
        </w:numPr>
        <w:spacing w:lineRule="auto" w:line="240" w:before="0" w:after="0"/>
        <w:ind w:left="800"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critérios de recebimento</w:t>
      </w:r>
      <w:r>
        <w:rPr>
          <w:rFonts w:cs="Arial" w:ascii="Calibri" w:hAnsi="Calibri"/>
          <w:i w:val="false"/>
          <w:iCs w:val="false"/>
          <w:color w:val="000000"/>
          <w:sz w:val="24"/>
          <w:szCs w:val="24"/>
          <w:shd w:fill="auto" w:val="clear"/>
          <w:lang w:eastAsia="en-US"/>
        </w:rPr>
        <w:t xml:space="preserve"> e aceitação</w:t>
      </w:r>
      <w:r>
        <w:rPr>
          <w:rFonts w:cs="Arial" w:ascii="Calibri" w:hAnsi="Calibri"/>
          <w:i w:val="false"/>
          <w:iCs w:val="false"/>
          <w:color w:val="000000"/>
          <w:sz w:val="24"/>
          <w:szCs w:val="24"/>
          <w:shd w:fill="auto" w:val="clear"/>
        </w:rPr>
        <w:t xml:space="preserve"> do objeto e de fiscalização estão previstos no Termo de Referência.</w:t>
      </w:r>
    </w:p>
    <w:p>
      <w:pPr>
        <w:pStyle w:val="ListParagraph"/>
        <w:numPr>
          <w:ilvl w:val="0"/>
          <w:numId w:val="0"/>
        </w:numPr>
        <w:spacing w:lineRule="auto" w:line="240" w:before="0" w:after="0"/>
        <w:ind w:left="1367"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DAS OBRIGAÇÕES DA CONTRATANTE E DA CONTRATADA</w:t>
      </w:r>
    </w:p>
    <w:p>
      <w:pPr>
        <w:pStyle w:val="ListParagraph"/>
        <w:numPr>
          <w:ilvl w:val="1"/>
          <w:numId w:val="423"/>
        </w:numPr>
        <w:spacing w:lineRule="auto" w:line="240" w:before="0" w:after="0"/>
        <w:ind w:left="800"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obrigações da Contratante e da Contratada são as estabelecidas no Termo de Referência.</w:t>
      </w:r>
      <w:r>
        <w:rPr>
          <w:rFonts w:cs="Arial" w:ascii="Calibri" w:hAnsi="Calibri"/>
          <w:b/>
          <w:i w:val="false"/>
          <w:iCs w:val="false"/>
          <w:color w:val="000000"/>
          <w:sz w:val="24"/>
          <w:szCs w:val="24"/>
          <w:shd w:fill="auto" w:val="clear"/>
        </w:rPr>
        <w:t xml:space="preserve"> </w:t>
      </w:r>
    </w:p>
    <w:p>
      <w:pPr>
        <w:pStyle w:val="ListParagraph"/>
        <w:numPr>
          <w:ilvl w:val="0"/>
          <w:numId w:val="0"/>
        </w:numPr>
        <w:spacing w:lineRule="auto" w:line="240" w:before="0" w:after="0"/>
        <w:ind w:left="1367" w:hanging="0"/>
        <w:contextualSpacing/>
        <w:jc w:val="both"/>
        <w:rPr>
          <w:rFonts w:cs="Arial"/>
          <w:b/>
          <w:b/>
        </w:rPr>
      </w:pPr>
      <w:r>
        <w:rPr>
          <w:rFonts w:cs="Arial"/>
          <w:b/>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DO PAGAMENTO</w:t>
      </w:r>
    </w:p>
    <w:p>
      <w:pPr>
        <w:pStyle w:val="ListParagraph"/>
        <w:numPr>
          <w:ilvl w:val="1"/>
          <w:numId w:val="424"/>
        </w:numPr>
        <w:spacing w:lineRule="auto" w:line="240" w:before="0" w:after="0"/>
        <w:ind w:left="800" w:hanging="432"/>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regras acerca do pagamento são as estabelecidas no Termo de Referência, anexo a este Edital.</w:t>
      </w:r>
    </w:p>
    <w:p>
      <w:pPr>
        <w:pStyle w:val="ListParagraph"/>
        <w:numPr>
          <w:ilvl w:val="2"/>
          <w:numId w:val="42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É admitida a cessão de crédito decorrente da contratação de que trata este Instrumento Convocatório, nos termos do previsto na minuta contratual anexa a este Edital.</w:t>
      </w:r>
    </w:p>
    <w:p>
      <w:pPr>
        <w:pStyle w:val="ListParagraph"/>
        <w:numPr>
          <w:ilvl w:val="0"/>
          <w:numId w:val="0"/>
        </w:numPr>
        <w:spacing w:lineRule="auto" w:line="240" w:before="0" w:after="0"/>
        <w:ind w:left="2358"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DAS SANÇÕES ADMINISTRATIVAS.</w:t>
      </w:r>
    </w:p>
    <w:p>
      <w:pPr>
        <w:pStyle w:val="ListParagraph"/>
        <w:numPr>
          <w:ilvl w:val="1"/>
          <w:numId w:val="42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Comete infração administrativa, nos termos da Lei nº 10.520, de 2002, o licitante/adjudicatário que: </w:t>
      </w:r>
    </w:p>
    <w:p>
      <w:pPr>
        <w:pStyle w:val="Normal"/>
        <w:numPr>
          <w:ilvl w:val="2"/>
          <w:numId w:val="427"/>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assinar o termo de contrato ou aceitar/retirar o instrumento equivalente, quando convocado dentro do prazo de validade da proposta;</w:t>
      </w:r>
    </w:p>
    <w:p>
      <w:pPr>
        <w:pStyle w:val="ListParagraph"/>
        <w:numPr>
          <w:ilvl w:val="2"/>
          <w:numId w:val="428"/>
        </w:numPr>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assinar a ata de registro de preços, quando cabível;</w:t>
      </w:r>
    </w:p>
    <w:p>
      <w:pPr>
        <w:pStyle w:val="Normal"/>
        <w:numPr>
          <w:ilvl w:val="2"/>
          <w:numId w:val="429"/>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apresentar documentação falsa;</w:t>
      </w:r>
    </w:p>
    <w:p>
      <w:pPr>
        <w:pStyle w:val="Normal"/>
        <w:numPr>
          <w:ilvl w:val="2"/>
          <w:numId w:val="430"/>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deixar de entregar os documentos exigidos no certame;</w:t>
      </w:r>
    </w:p>
    <w:p>
      <w:pPr>
        <w:pStyle w:val="Normal"/>
        <w:numPr>
          <w:ilvl w:val="2"/>
          <w:numId w:val="431"/>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ensejar o retardamento da execução do objeto;</w:t>
      </w:r>
    </w:p>
    <w:p>
      <w:pPr>
        <w:pStyle w:val="Normal"/>
        <w:numPr>
          <w:ilvl w:val="2"/>
          <w:numId w:val="432"/>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mantiver a proposta;</w:t>
      </w:r>
    </w:p>
    <w:p>
      <w:pPr>
        <w:pStyle w:val="Normal"/>
        <w:numPr>
          <w:ilvl w:val="2"/>
          <w:numId w:val="433"/>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cometer fraude fiscal;</w:t>
      </w:r>
    </w:p>
    <w:p>
      <w:pPr>
        <w:pStyle w:val="Normal"/>
        <w:numPr>
          <w:ilvl w:val="2"/>
          <w:numId w:val="434"/>
        </w:numPr>
        <w:tabs>
          <w:tab w:val="clear" w:pos="708"/>
          <w:tab w:val="left" w:pos="1440" w:leader="none"/>
        </w:tabs>
        <w:snapToGrid w:val="false"/>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comportar-se de modo inidôneo;</w:t>
      </w:r>
    </w:p>
    <w:p>
      <w:pPr>
        <w:pStyle w:val="Normal"/>
        <w:numPr>
          <w:ilvl w:val="1"/>
          <w:numId w:val="43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As sanções do item acima também se aplicam aos integrantes do cadastro de reserva, em pregão para registro de preços que, convocados, não honrarem o compromisso assumido injustificadamente. </w:t>
      </w:r>
    </w:p>
    <w:p>
      <w:pPr>
        <w:pStyle w:val="ListParagraph"/>
        <w:numPr>
          <w:ilvl w:val="1"/>
          <w:numId w:val="43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ListParagraph"/>
        <w:numPr>
          <w:ilvl w:val="1"/>
          <w:numId w:val="43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licitante/adjudicatário que cometer qualquer das infrações discriminadas nos subitens anteriores ficará sujeito, sem prejuízo da responsabilidade civil e criminal, às seguintes sanções: </w:t>
      </w:r>
    </w:p>
    <w:p>
      <w:pPr>
        <w:pStyle w:val="ListParagraph"/>
        <w:numPr>
          <w:ilvl w:val="2"/>
          <w:numId w:val="43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Advertência por faltas leves, assim entendidas como aquelas que não acarretarem prejuízos significativos ao objeto da contratação;</w:t>
      </w:r>
    </w:p>
    <w:p>
      <w:pPr>
        <w:pStyle w:val="ListParagraph"/>
        <w:numPr>
          <w:ilvl w:val="2"/>
          <w:numId w:val="43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Multa de </w:t>
      </w:r>
      <w:r>
        <w:rPr>
          <w:rFonts w:cs="Arial" w:ascii="Calibri" w:hAnsi="Calibri"/>
          <w:i w:val="false"/>
          <w:iCs w:val="false"/>
          <w:color w:val="000000"/>
          <w:sz w:val="24"/>
          <w:szCs w:val="24"/>
          <w:shd w:fill="auto" w:val="clear"/>
          <w:lang w:eastAsia="pt-BR"/>
        </w:rPr>
        <w:t>10</w:t>
      </w:r>
      <w:r>
        <w:rPr>
          <w:rFonts w:cs="Arial" w:ascii="Calibri" w:hAnsi="Calibri"/>
          <w:i w:val="false"/>
          <w:iCs w:val="false"/>
          <w:color w:val="000000"/>
          <w:sz w:val="24"/>
          <w:szCs w:val="24"/>
          <w:shd w:fill="auto" w:val="clear"/>
        </w:rPr>
        <w:t>% (</w:t>
      </w:r>
      <w:r>
        <w:rPr>
          <w:rFonts w:cs="Arial" w:ascii="Calibri" w:hAnsi="Calibri"/>
          <w:i w:val="false"/>
          <w:iCs w:val="false"/>
          <w:color w:val="000000"/>
          <w:sz w:val="24"/>
          <w:szCs w:val="24"/>
          <w:shd w:fill="auto" w:val="clear"/>
          <w:lang w:eastAsia="pt-BR"/>
        </w:rPr>
        <w:t>dez</w:t>
      </w:r>
      <w:r>
        <w:rPr>
          <w:rFonts w:cs="Arial" w:ascii="Calibri" w:hAnsi="Calibri"/>
          <w:i w:val="false"/>
          <w:iCs w:val="false"/>
          <w:color w:val="000000"/>
          <w:sz w:val="24"/>
          <w:szCs w:val="24"/>
          <w:shd w:fill="auto" w:val="clear"/>
        </w:rPr>
        <w:t xml:space="preserve"> por cento) sobre o valor estimado do(s) item(s) prejudicado(s) pela conduta do licitante;</w:t>
      </w:r>
    </w:p>
    <w:p>
      <w:pPr>
        <w:pStyle w:val="ListParagraph"/>
        <w:numPr>
          <w:ilvl w:val="2"/>
          <w:numId w:val="44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Suspensão de licitar e impedimento de contratar com o órgão, entidade ou unidade administrativa pela qual a Administração Pública opera e atua concretamente, pelo prazo de até dois anos;</w:t>
      </w:r>
    </w:p>
    <w:p>
      <w:pPr>
        <w:pStyle w:val="ListParagraph"/>
        <w:numPr>
          <w:ilvl w:val="2"/>
          <w:numId w:val="44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Impedimento de licitar e de contratar com a União e descredenciamento no SICAF, pelo prazo de até cinco anos;</w:t>
      </w:r>
    </w:p>
    <w:p>
      <w:pPr>
        <w:pStyle w:val="ListParagraph"/>
        <w:numPr>
          <w:ilvl w:val="3"/>
          <w:numId w:val="44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Sanção de impedimento de licitar e contratar prevista neste subitem também é aplicável em quaisquer das hipóteses previstas como infração administrativa neste Edital.</w:t>
      </w:r>
    </w:p>
    <w:p>
      <w:pPr>
        <w:pStyle w:val="ListParagraph"/>
        <w:numPr>
          <w:ilvl w:val="1"/>
          <w:numId w:val="44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ListParagraph"/>
        <w:numPr>
          <w:ilvl w:val="1"/>
          <w:numId w:val="44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penalidade de multa pode ser aplicada cumulativamente com as demais sanções.</w:t>
      </w:r>
    </w:p>
    <w:p>
      <w:pPr>
        <w:pStyle w:val="ListParagraph"/>
        <w:numPr>
          <w:ilvl w:val="1"/>
          <w:numId w:val="44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ListParagraph"/>
        <w:numPr>
          <w:ilvl w:val="1"/>
          <w:numId w:val="44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pPr>
        <w:pStyle w:val="ListParagraph"/>
        <w:numPr>
          <w:ilvl w:val="1"/>
          <w:numId w:val="44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ListParagraph"/>
        <w:numPr>
          <w:ilvl w:val="1"/>
          <w:numId w:val="44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Caso o valor da multa não seja suficiente para cobrir os prejuízos causados pela conduta do licitante, a União ou Entidade poderá cobrar o valor remanescente judicialmente, conforme artigo 419 do Código Civil.</w:t>
      </w:r>
    </w:p>
    <w:p>
      <w:pPr>
        <w:pStyle w:val="ListParagraph"/>
        <w:numPr>
          <w:ilvl w:val="1"/>
          <w:numId w:val="44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ListParagraph"/>
        <w:numPr>
          <w:ilvl w:val="1"/>
          <w:numId w:val="45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autoridade competente, na aplicação das sanções, levará em consideração a gravidade da conduta do infrator, o caráter educativo da pena, bem como o dano causado à Administração, observado o princípio da proporcionalidade.</w:t>
      </w:r>
    </w:p>
    <w:p>
      <w:pPr>
        <w:pStyle w:val="ListParagraph"/>
        <w:numPr>
          <w:ilvl w:val="1"/>
          <w:numId w:val="45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penalidades serão obrigatoriamente registradas no SICAF.</w:t>
      </w:r>
    </w:p>
    <w:p>
      <w:pPr>
        <w:pStyle w:val="ListParagraph"/>
        <w:numPr>
          <w:ilvl w:val="1"/>
          <w:numId w:val="45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sanções por atos praticados no decorrer da contratação estão previstas no Termo de Referência.</w:t>
      </w:r>
    </w:p>
    <w:p>
      <w:pPr>
        <w:pStyle w:val="ListParagraph"/>
        <w:numPr>
          <w:ilvl w:val="0"/>
          <w:numId w:val="0"/>
        </w:numPr>
        <w:spacing w:lineRule="auto" w:line="240" w:before="0" w:after="0"/>
        <w:ind w:left="1719"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DA FORMAÇÃO DO CADASTRO DE RESERVA </w:t>
      </w:r>
    </w:p>
    <w:p>
      <w:pPr>
        <w:pStyle w:val="ListParagraph"/>
        <w:numPr>
          <w:ilvl w:val="1"/>
          <w:numId w:val="45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Após o encerramento da etapa competitiva, os licitantes poderão reduzir seus preços ao valor da proposta do licitante mais bem classificado.</w:t>
      </w:r>
    </w:p>
    <w:p>
      <w:pPr>
        <w:pStyle w:val="Normal"/>
        <w:numPr>
          <w:ilvl w:val="1"/>
          <w:numId w:val="454"/>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apresentação de novas propostas na forma deste item não prejudicará o resultado do certame em relação ao licitante melhor classificado.</w:t>
      </w:r>
    </w:p>
    <w:p>
      <w:pPr>
        <w:pStyle w:val="Normal"/>
        <w:numPr>
          <w:ilvl w:val="1"/>
          <w:numId w:val="455"/>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Havendo um ou mais licitantes que aceitem cotar suas propostas em valor igual ao do licitante vencedor, estes serão classificados segundo a ordem da última proposta individual apresentada durante a fase competitiva.</w:t>
      </w:r>
    </w:p>
    <w:p>
      <w:pPr>
        <w:pStyle w:val="Normal"/>
        <w:numPr>
          <w:ilvl w:val="1"/>
          <w:numId w:val="456"/>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pPr>
        <w:pStyle w:val="Normal"/>
        <w:numPr>
          <w:ilvl w:val="0"/>
          <w:numId w:val="0"/>
        </w:numPr>
        <w:spacing w:lineRule="auto" w:line="240" w:before="0" w:after="0"/>
        <w:ind w:left="1424"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IMPUGNAÇÃO AO EDITAL E DO PEDIDO DE ESCLARECIMENTO</w:t>
      </w:r>
    </w:p>
    <w:p>
      <w:pPr>
        <w:pStyle w:val="ListParagraph"/>
        <w:numPr>
          <w:ilvl w:val="1"/>
          <w:numId w:val="457"/>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Até 03 (três) dias úteis antes da data designada para a abertura da sessão pública, qualquer pessoa poderá impugnar este Edital.</w:t>
      </w:r>
    </w:p>
    <w:p>
      <w:pPr>
        <w:pStyle w:val="ListParagraph"/>
        <w:numPr>
          <w:ilvl w:val="1"/>
          <w:numId w:val="458"/>
        </w:numPr>
        <w:spacing w:lineRule="auto" w:line="240" w:before="0" w:after="0"/>
        <w:ind w:left="425" w:hanging="0"/>
        <w:contextualSpacing/>
        <w:jc w:val="both"/>
        <w:rPr/>
      </w:pPr>
      <w:r>
        <w:rPr>
          <w:rFonts w:cs="Arial" w:ascii="Calibri" w:hAnsi="Calibri"/>
          <w:i w:val="false"/>
          <w:iCs w:val="false"/>
          <w:color w:val="000000"/>
          <w:sz w:val="24"/>
          <w:szCs w:val="24"/>
          <w:shd w:fill="auto" w:val="clear"/>
        </w:rPr>
        <w:t xml:space="preserve">A impugnação poderá ser realizada por forma eletrônica, pelo e-mail </w:t>
      </w:r>
      <w:hyperlink r:id="rId7">
        <w:r>
          <w:rPr>
            <w:rStyle w:val="LinkdaInternet"/>
            <w:rFonts w:cs="Arial" w:ascii="Calibri" w:hAnsi="Calibri"/>
            <w:i w:val="false"/>
            <w:iCs w:val="false"/>
            <w:color w:val="000000"/>
            <w:sz w:val="24"/>
            <w:szCs w:val="24"/>
            <w:u w:val="none"/>
            <w:shd w:fill="auto" w:val="clear"/>
          </w:rPr>
          <w:t>alexis.sanzio@marinha.mil.br</w:t>
        </w:r>
      </w:hyperlink>
      <w:r>
        <w:rPr>
          <w:rFonts w:cs="Arial" w:ascii="Calibri" w:hAnsi="Calibri"/>
          <w:i w:val="false"/>
          <w:iCs w:val="false"/>
          <w:color w:val="000000"/>
          <w:sz w:val="24"/>
          <w:szCs w:val="24"/>
          <w:u w:val="none"/>
          <w:shd w:fill="auto" w:val="clear"/>
        </w:rPr>
        <w:t xml:space="preserve"> ou </w:t>
      </w:r>
      <w:r>
        <w:rPr>
          <w:rStyle w:val="LinkdaInternet"/>
          <w:rFonts w:cs="Arial" w:ascii="Calibri" w:hAnsi="Calibri"/>
          <w:b w:val="false"/>
          <w:bCs w:val="false"/>
          <w:i w:val="false"/>
          <w:iCs w:val="false"/>
          <w:color w:val="000000"/>
          <w:sz w:val="24"/>
          <w:szCs w:val="24"/>
          <w:u w:val="none"/>
          <w:shd w:fill="auto" w:val="clear"/>
        </w:rPr>
        <w:t>leo.wilker@marinha.mil.br</w:t>
      </w:r>
      <w:r>
        <w:rPr>
          <w:rFonts w:cs="Arial" w:ascii="Calibri" w:hAnsi="Calibri"/>
          <w:i w:val="false"/>
          <w:iCs w:val="false"/>
          <w:color w:val="000000"/>
          <w:sz w:val="24"/>
          <w:szCs w:val="24"/>
          <w:shd w:fill="auto" w:val="clear"/>
        </w:rPr>
        <w:t>, ou por petição dirigida ou protocolada no endereço Avenida Coronel Filomeno Gomes, n° 30  –  Jacarecanga,  CEP 60.010-280, Fortaleza-CE, Divisão de Obtenção.</w:t>
      </w:r>
    </w:p>
    <w:p>
      <w:pPr>
        <w:pStyle w:val="ListParagraph"/>
        <w:numPr>
          <w:ilvl w:val="1"/>
          <w:numId w:val="459"/>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Caberá ao Pregoeiro, auxiliado pelos responsáveis pela elaboração deste Edital e seus anexos, decidir sobre a impugnação no prazo de até dois dias úteis contados da data de recebimento da impugnação.</w:t>
      </w:r>
    </w:p>
    <w:p>
      <w:pPr>
        <w:pStyle w:val="ListParagraph"/>
        <w:numPr>
          <w:ilvl w:val="1"/>
          <w:numId w:val="460"/>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Acolhida a impugnação, será definida e publicada nova data para a realização do certame.</w:t>
      </w:r>
    </w:p>
    <w:p>
      <w:pPr>
        <w:pStyle w:val="ListParagraph"/>
        <w:numPr>
          <w:ilvl w:val="1"/>
          <w:numId w:val="461"/>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pPr>
        <w:pStyle w:val="ListParagraph"/>
        <w:numPr>
          <w:ilvl w:val="1"/>
          <w:numId w:val="462"/>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Pregoeiro responderá aos pedidos de esclarecimentos no prazo de 2 (dois) dias úteis, contado da data de recebimento do pedido, e poderá requisitar subsídios formais aos responsáveis pela elaboração do Edital e dos anexos.</w:t>
      </w:r>
    </w:p>
    <w:p>
      <w:pPr>
        <w:pStyle w:val="ListParagraph"/>
        <w:numPr>
          <w:ilvl w:val="1"/>
          <w:numId w:val="463"/>
        </w:numPr>
        <w:spacing w:lineRule="auto" w:line="240" w:before="0" w:after="0"/>
        <w:ind w:left="425"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impugnações e pedidos de esclarecimentos não suspendem os prazos previstos no certame.</w:t>
      </w:r>
    </w:p>
    <w:p>
      <w:pPr>
        <w:pStyle w:val="Normal"/>
        <w:numPr>
          <w:ilvl w:val="2"/>
          <w:numId w:val="46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concessão de efeito suspensivo à impugnação é medida excepcional e deverá ser motivada pelo pregoeiro, nos autos do processo de licitação.</w:t>
      </w:r>
    </w:p>
    <w:p>
      <w:pPr>
        <w:pStyle w:val="Normal"/>
        <w:numPr>
          <w:ilvl w:val="1"/>
          <w:numId w:val="46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As respostas aos pedidos de esclarecimentos serão divulgadas pelo sistema e vincularão os participantes e a Administração.</w:t>
      </w:r>
    </w:p>
    <w:p>
      <w:pPr>
        <w:pStyle w:val="Normal"/>
        <w:numPr>
          <w:ilvl w:val="0"/>
          <w:numId w:val="0"/>
        </w:numPr>
        <w:spacing w:lineRule="auto" w:line="240" w:before="0" w:after="0"/>
        <w:ind w:left="999" w:hanging="0"/>
        <w:contextualSpacing/>
        <w:jc w:val="both"/>
        <w:rPr>
          <w:rFonts w:cs="Arial"/>
        </w:rPr>
      </w:pPr>
      <w:r>
        <w:rPr>
          <w:rFonts w:cs="Arial"/>
        </w:rPr>
      </w:r>
    </w:p>
    <w:p>
      <w:pPr>
        <w:pStyle w:val="Nivel01"/>
        <w:numPr>
          <w:ilvl w:val="0"/>
          <w:numId w:val="2"/>
        </w:numPr>
        <w:spacing w:lineRule="auto" w:line="240" w:before="0" w:after="0"/>
        <w:ind w:left="0" w:hanging="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DAS DISPOSIÇÕES GERAIS</w:t>
      </w:r>
    </w:p>
    <w:p>
      <w:pPr>
        <w:pStyle w:val="Normal"/>
        <w:numPr>
          <w:ilvl w:val="1"/>
          <w:numId w:val="466"/>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Da sessão pública do Pregão divulgar-se-á Ata no sistema eletrônico.</w:t>
      </w:r>
    </w:p>
    <w:p>
      <w:pPr>
        <w:pStyle w:val="Normal"/>
        <w:numPr>
          <w:ilvl w:val="1"/>
          <w:numId w:val="46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numPr>
          <w:ilvl w:val="1"/>
          <w:numId w:val="468"/>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Todas as referências de tempo no Edital, no aviso e durante a sessão pública observarão o horário de Brasília – DF.</w:t>
      </w:r>
    </w:p>
    <w:p>
      <w:pPr>
        <w:pStyle w:val="Normal"/>
        <w:numPr>
          <w:ilvl w:val="1"/>
          <w:numId w:val="46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themeColor="text1"/>
          <w:sz w:val="24"/>
          <w:szCs w:val="24"/>
          <w:shd w:fill="auto" w:val="clear"/>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470"/>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 homologação do resultado desta licitação não implicará direito à contratação.</w:t>
      </w:r>
    </w:p>
    <w:p>
      <w:pPr>
        <w:pStyle w:val="Normal"/>
        <w:numPr>
          <w:ilvl w:val="1"/>
          <w:numId w:val="471"/>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472"/>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
        <w:numPr>
          <w:ilvl w:val="1"/>
          <w:numId w:val="473"/>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Na contagem dos prazos estabelecidos neste Edital e seus Anexos, excluir-se-á o dia do início e incluir-se-á o do vencimento. Só se iniciam e vencem os prazos em dias de expediente na Administração.</w:t>
      </w:r>
    </w:p>
    <w:p>
      <w:pPr>
        <w:pStyle w:val="Normal"/>
        <w:numPr>
          <w:ilvl w:val="1"/>
          <w:numId w:val="474"/>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O desatendimento de exigências formais não essenciais não importará o afastamento do licitante, desde que seja possível o aproveitamento do ato, observados os princípios da isonomia e do interesse público.</w:t>
      </w:r>
    </w:p>
    <w:p>
      <w:pPr>
        <w:pStyle w:val="Normal"/>
        <w:numPr>
          <w:ilvl w:val="1"/>
          <w:numId w:val="475"/>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Em caso de divergência entre disposições deste Edital e de seus anexos ou demais peças que compõem o processo, prevalecerá as deste Edital.</w:t>
      </w:r>
    </w:p>
    <w:p>
      <w:pPr>
        <w:pStyle w:val="Normal"/>
        <w:numPr>
          <w:ilvl w:val="1"/>
          <w:numId w:val="476"/>
        </w:numPr>
        <w:spacing w:lineRule="auto" w:line="240" w:before="0" w:after="0"/>
        <w:contextualSpacing/>
        <w:jc w:val="both"/>
        <w:rPr/>
      </w:pPr>
      <w:r>
        <w:rPr>
          <w:rFonts w:cs="Arial" w:ascii="Calibri" w:hAnsi="Calibri"/>
          <w:i w:val="false"/>
          <w:iCs w:val="false"/>
          <w:color w:val="000000"/>
          <w:sz w:val="24"/>
          <w:szCs w:val="24"/>
          <w:shd w:fill="auto" w:val="clear"/>
        </w:rPr>
        <w:t xml:space="preserve">O Edital está disponibilizado, na íntegra, no endereço eletrônico </w:t>
      </w:r>
      <w:hyperlink r:id="rId8">
        <w:r>
          <w:rPr>
            <w:rStyle w:val="LinkdaInternet"/>
            <w:rFonts w:cs="Arial" w:ascii="Calibri" w:hAnsi="Calibri"/>
            <w:i w:val="false"/>
            <w:iCs w:val="false"/>
            <w:color w:val="000000"/>
            <w:sz w:val="24"/>
            <w:szCs w:val="24"/>
            <w:u w:val="none"/>
            <w:shd w:fill="auto" w:val="clear"/>
          </w:rPr>
          <w:t>alexis.sanzio@marinha.mil.br</w:t>
        </w:r>
      </w:hyperlink>
      <w:r>
        <w:rPr>
          <w:rFonts w:cs="Arial" w:ascii="Calibri" w:hAnsi="Calibri"/>
          <w:i w:val="false"/>
          <w:iCs w:val="false"/>
          <w:color w:val="000000"/>
          <w:sz w:val="24"/>
          <w:szCs w:val="24"/>
          <w:u w:val="none"/>
          <w:shd w:fill="auto" w:val="clear"/>
        </w:rPr>
        <w:t xml:space="preserve"> ou </w:t>
      </w:r>
      <w:r>
        <w:rPr>
          <w:rStyle w:val="LinkdaInternet"/>
          <w:rFonts w:cs="Arial" w:ascii="Calibri" w:hAnsi="Calibri"/>
          <w:b w:val="false"/>
          <w:bCs w:val="false"/>
          <w:i w:val="false"/>
          <w:iCs w:val="false"/>
          <w:color w:val="000000"/>
          <w:sz w:val="24"/>
          <w:szCs w:val="24"/>
          <w:u w:val="none"/>
          <w:shd w:fill="auto" w:val="clear"/>
        </w:rPr>
        <w:t>leo.wilker@marinha.mil.br</w:t>
      </w:r>
      <w:r>
        <w:rPr>
          <w:rFonts w:cs="Arial" w:ascii="Calibri" w:hAnsi="Calibri"/>
          <w:i w:val="false"/>
          <w:iCs w:val="false"/>
          <w:color w:val="000000"/>
          <w:sz w:val="24"/>
          <w:szCs w:val="24"/>
          <w:shd w:fill="auto" w:val="clear"/>
        </w:rPr>
        <w:t xml:space="preserve">, e também poderão ser lidos e/ou obtidos no endereço Avenida Coronel Filomeno Gomes, n° 30  – Jacarecanga,  CEP 60.010-280, Fortaleza-CE, Divisão de Obtenção, nos dias úteis, no horário das </w:t>
      </w:r>
      <w:r>
        <w:rPr>
          <w:rFonts w:eastAsia="ＭＳ 明朝" w:cs="Arial" w:ascii="Calibri" w:hAnsi="Calibri"/>
          <w:i w:val="false"/>
          <w:iCs w:val="false"/>
          <w:color w:val="000000"/>
          <w:kern w:val="0"/>
          <w:sz w:val="24"/>
          <w:szCs w:val="24"/>
          <w:shd w:fill="auto" w:val="clear"/>
          <w:lang w:val="pt-BR" w:eastAsia="pt-BR" w:bidi="ar-SA"/>
        </w:rPr>
        <w:t>09:30</w:t>
      </w:r>
      <w:r>
        <w:rPr>
          <w:rFonts w:cs="Arial" w:ascii="Calibri" w:hAnsi="Calibri"/>
          <w:i w:val="false"/>
          <w:iCs w:val="false"/>
          <w:color w:val="000000"/>
          <w:sz w:val="24"/>
          <w:szCs w:val="24"/>
          <w:shd w:fill="auto" w:val="clear"/>
        </w:rPr>
        <w:t xml:space="preserve"> horas às </w:t>
      </w:r>
      <w:r>
        <w:rPr>
          <w:rFonts w:eastAsia="ＭＳ 明朝" w:cs="Arial" w:ascii="Calibri" w:hAnsi="Calibri"/>
          <w:i w:val="false"/>
          <w:iCs w:val="false"/>
          <w:color w:val="000000"/>
          <w:kern w:val="0"/>
          <w:sz w:val="24"/>
          <w:szCs w:val="24"/>
          <w:shd w:fill="auto" w:val="clear"/>
          <w:lang w:val="pt-BR" w:eastAsia="pt-BR" w:bidi="ar-SA"/>
        </w:rPr>
        <w:t>16:00</w:t>
      </w:r>
      <w:r>
        <w:rPr>
          <w:rFonts w:cs="Arial" w:ascii="Calibri" w:hAnsi="Calibri"/>
          <w:i w:val="false"/>
          <w:iCs w:val="false"/>
          <w:color w:val="000000"/>
          <w:sz w:val="24"/>
          <w:szCs w:val="24"/>
          <w:shd w:fill="auto" w:val="clear"/>
        </w:rPr>
        <w:t xml:space="preserve"> horas, mesmo endereço e período no qual os autos do processo administrativo permanecerão com vista franqueada aos interessados.</w:t>
      </w:r>
    </w:p>
    <w:p>
      <w:pPr>
        <w:pStyle w:val="Normal"/>
        <w:numPr>
          <w:ilvl w:val="1"/>
          <w:numId w:val="477"/>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Integram este Edital, para todos os fins e efeitos, os seguintes anexos:</w:t>
      </w:r>
    </w:p>
    <w:p>
      <w:pPr>
        <w:pStyle w:val="Normal"/>
        <w:numPr>
          <w:ilvl w:val="2"/>
          <w:numId w:val="478"/>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ANEXO I - Termo de Referência;</w:t>
      </w:r>
    </w:p>
    <w:p>
      <w:pPr>
        <w:pStyle w:val="ListParagraph"/>
        <w:numPr>
          <w:ilvl w:val="3"/>
          <w:numId w:val="5"/>
        </w:numPr>
        <w:spacing w:lineRule="auto" w:line="240" w:before="0" w:after="0"/>
        <w:contextualSpacing/>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Apêndice do Anexo I – Estudo Técnico Preliminar;</w:t>
      </w:r>
    </w:p>
    <w:p>
      <w:pPr>
        <w:pStyle w:val="Normal"/>
        <w:numPr>
          <w:ilvl w:val="2"/>
          <w:numId w:val="479"/>
        </w:numPr>
        <w:spacing w:lineRule="auto" w:line="240" w:before="0" w:after="0"/>
        <w:contextualSpacing/>
        <w:jc w:val="both"/>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ANEXO II – Minuta de Ata de Registro de Preços; e</w:t>
      </w:r>
    </w:p>
    <w:p>
      <w:pPr>
        <w:pStyle w:val="Normal"/>
        <w:numPr>
          <w:ilvl w:val="2"/>
          <w:numId w:val="480"/>
        </w:numPr>
        <w:tabs>
          <w:tab w:val="clear" w:pos="708"/>
          <w:tab w:val="left" w:pos="1440" w:leader="none"/>
        </w:tabs>
        <w:snapToGrid w:val="false"/>
        <w:spacing w:lineRule="auto" w:line="240" w:before="0" w:after="0"/>
        <w:ind w:left="1134" w:hanging="0"/>
        <w:contextualSpacing/>
        <w:jc w:val="both"/>
        <w:rPr>
          <w:rFonts w:ascii="Calibri" w:hAnsi="Calibri"/>
          <w:i w:val="false"/>
          <w:i w:val="false"/>
          <w:iCs w:val="false"/>
          <w:color w:val="000000"/>
          <w:sz w:val="24"/>
          <w:szCs w:val="24"/>
          <w:shd w:fill="auto" w:val="clear"/>
        </w:rPr>
      </w:pPr>
      <w:r>
        <w:rPr>
          <w:rFonts w:cs="Arial" w:ascii="Calibri" w:hAnsi="Calibri"/>
          <w:bCs/>
          <w:i w:val="false"/>
          <w:iCs w:val="false"/>
          <w:color w:val="000000"/>
          <w:sz w:val="24"/>
          <w:szCs w:val="24"/>
          <w:shd w:fill="auto" w:val="clear"/>
        </w:rPr>
        <w:t xml:space="preserve"> </w:t>
      </w:r>
      <w:r>
        <w:rPr>
          <w:rFonts w:cs="Arial" w:ascii="Calibri" w:hAnsi="Calibri"/>
          <w:i w:val="false"/>
          <w:iCs w:val="false"/>
          <w:color w:val="000000"/>
          <w:sz w:val="24"/>
          <w:szCs w:val="24"/>
          <w:shd w:fill="auto" w:val="clear"/>
        </w:rPr>
        <w:t xml:space="preserve">ANEXO </w:t>
      </w:r>
      <w:r>
        <w:rPr>
          <w:rFonts w:cs="Arial" w:ascii="Calibri" w:hAnsi="Calibri"/>
          <w:bCs/>
          <w:i w:val="false"/>
          <w:iCs w:val="false"/>
          <w:color w:val="000000"/>
          <w:sz w:val="24"/>
          <w:szCs w:val="24"/>
          <w:shd w:fill="auto" w:val="clear"/>
        </w:rPr>
        <w:t>II</w:t>
      </w:r>
      <w:r>
        <w:rPr>
          <w:rFonts w:cs="Arial" w:ascii="Calibri" w:hAnsi="Calibri"/>
          <w:bCs/>
          <w:i w:val="false"/>
          <w:iCs w:val="false"/>
          <w:color w:val="000000"/>
          <w:sz w:val="24"/>
          <w:szCs w:val="24"/>
          <w:shd w:fill="auto" w:val="clear"/>
        </w:rPr>
        <w:t>I</w:t>
      </w:r>
      <w:r>
        <w:rPr>
          <w:rFonts w:cs="Arial" w:ascii="Calibri" w:hAnsi="Calibri"/>
          <w:i w:val="false"/>
          <w:iCs w:val="false"/>
          <w:color w:val="000000"/>
          <w:sz w:val="24"/>
          <w:szCs w:val="24"/>
          <w:shd w:fill="auto" w:val="clear"/>
        </w:rPr>
        <w:t xml:space="preserve"> – Minuta de Termo de Contrato.</w:t>
      </w:r>
    </w:p>
    <w:p>
      <w:pPr>
        <w:pStyle w:val="Normal"/>
        <w:spacing w:lineRule="auto" w:line="240" w:before="0" w:after="0"/>
        <w:ind w:left="360" w:right="-15" w:firstLine="709"/>
        <w:contextualSpacing/>
        <w:jc w:val="right"/>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p>
      <w:pPr>
        <w:pStyle w:val="Normal"/>
        <w:spacing w:lineRule="auto" w:line="240" w:before="0" w:after="0"/>
        <w:ind w:left="360" w:right="-15" w:firstLine="709"/>
        <w:contextualSpacing/>
        <w:jc w:val="right"/>
        <w:rPr>
          <w:rFonts w:cs="Arial"/>
        </w:rPr>
      </w:pPr>
      <w:r>
        <w:rPr>
          <w:rFonts w:cs="Arial"/>
        </w:rPr>
      </w:r>
    </w:p>
    <w:p>
      <w:pPr>
        <w:pStyle w:val="Normal"/>
        <w:spacing w:lineRule="auto" w:line="240" w:before="0" w:after="0"/>
        <w:ind w:left="360" w:right="-15" w:firstLine="709"/>
        <w:contextualSpacing/>
        <w:jc w:val="right"/>
        <w:rPr>
          <w:rFonts w:ascii="Calibri" w:hAnsi="Calibri"/>
          <w:i w:val="false"/>
          <w:i w:val="false"/>
          <w:iCs w:val="false"/>
          <w:color w:val="000000"/>
          <w:sz w:val="24"/>
          <w:szCs w:val="24"/>
          <w:shd w:fill="auto" w:val="clear"/>
        </w:rPr>
      </w:pPr>
      <w:r>
        <w:rPr>
          <w:rFonts w:cs="Arial" w:ascii="Calibri" w:hAnsi="Calibri"/>
          <w:i w:val="false"/>
          <w:iCs w:val="false"/>
          <w:color w:val="000000"/>
          <w:sz w:val="24"/>
          <w:szCs w:val="24"/>
          <w:shd w:fill="auto" w:val="clear"/>
        </w:rPr>
        <w:t xml:space="preserve">Fortaleza, CE, </w:t>
      </w:r>
      <w:r>
        <w:rPr>
          <w:rFonts w:cs="Arial" w:ascii="Calibri" w:hAnsi="Calibri"/>
          <w:i w:val="false"/>
          <w:iCs w:val="false"/>
          <w:color w:val="000000"/>
          <w:sz w:val="24"/>
          <w:szCs w:val="24"/>
          <w:shd w:fill="auto" w:val="clear"/>
        </w:rPr>
        <w:t xml:space="preserve">11 </w:t>
      </w:r>
      <w:r>
        <w:rPr>
          <w:rFonts w:cs="Arial" w:ascii="Calibri" w:hAnsi="Calibri"/>
          <w:i w:val="false"/>
          <w:iCs w:val="false"/>
          <w:color w:val="000000"/>
          <w:sz w:val="24"/>
          <w:szCs w:val="24"/>
          <w:shd w:fill="auto" w:val="clear"/>
        </w:rPr>
        <w:t xml:space="preserve">de </w:t>
      </w:r>
      <w:r>
        <w:rPr>
          <w:rFonts w:eastAsia="ＭＳ 明朝" w:cs="Arial" w:ascii="Calibri" w:hAnsi="Calibri"/>
          <w:i w:val="false"/>
          <w:iCs w:val="false"/>
          <w:color w:val="000000"/>
          <w:kern w:val="0"/>
          <w:sz w:val="24"/>
          <w:szCs w:val="24"/>
          <w:shd w:fill="auto" w:val="clear"/>
          <w:lang w:val="pt-BR" w:eastAsia="pt-BR" w:bidi="ar-SA"/>
        </w:rPr>
        <w:t>dezembro</w:t>
      </w:r>
      <w:r>
        <w:rPr>
          <w:rFonts w:cs="Arial" w:ascii="Calibri" w:hAnsi="Calibri"/>
          <w:i w:val="false"/>
          <w:iCs w:val="false"/>
          <w:color w:val="000000"/>
          <w:sz w:val="24"/>
          <w:szCs w:val="24"/>
          <w:shd w:fill="auto" w:val="clear"/>
        </w:rPr>
        <w:t xml:space="preserve"> de 2023.</w:t>
      </w:r>
    </w:p>
    <w:p>
      <w:pPr>
        <w:pStyle w:val="Normal"/>
        <w:spacing w:lineRule="auto" w:line="240" w:before="0" w:after="0"/>
        <w:ind w:left="0" w:right="-15" w:firstLine="709"/>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p>
      <w:pPr>
        <w:pStyle w:val="Normal"/>
        <w:spacing w:lineRule="auto" w:line="240" w:before="0" w:after="0"/>
        <w:ind w:left="0" w:right="-15" w:firstLine="709"/>
        <w:contextualSpacing/>
        <w:jc w:val="both"/>
        <w:rPr>
          <w:rFonts w:ascii="Calibri" w:hAnsi="Calibri" w:cs="Arial"/>
          <w:i w:val="false"/>
          <w:i w:val="false"/>
          <w:iCs w:val="false"/>
          <w:color w:val="000000"/>
          <w:sz w:val="24"/>
          <w:szCs w:val="24"/>
          <w:shd w:fill="auto" w:val="clear"/>
        </w:rPr>
      </w:pPr>
      <w:r>
        <w:rPr>
          <w:rFonts w:cs="Arial" w:ascii="Calibri" w:hAnsi="Calibri"/>
          <w:i w:val="false"/>
          <w:iCs w:val="false"/>
          <w:color w:val="000000"/>
          <w:sz w:val="24"/>
          <w:szCs w:val="24"/>
          <w:shd w:fill="auto" w:val="clear"/>
        </w:rPr>
      </w:r>
    </w:p>
    <w:p>
      <w:pPr>
        <w:pStyle w:val="Normal"/>
        <w:widowControl/>
        <w:tabs>
          <w:tab w:val="clear" w:pos="708"/>
        </w:tabs>
        <w:bidi w:val="0"/>
        <w:spacing w:lineRule="auto" w:line="240" w:before="0" w:after="0"/>
        <w:ind w:left="0" w:right="0" w:hanging="0"/>
        <w:contextualSpacing/>
        <w:jc w:val="center"/>
        <w:rPr>
          <w:rFonts w:ascii="Calibri" w:hAnsi="Calibri"/>
          <w:i w:val="false"/>
          <w:i w:val="false"/>
          <w:iCs w:val="false"/>
          <w:color w:val="000000"/>
          <w:sz w:val="24"/>
          <w:szCs w:val="24"/>
          <w:shd w:fill="auto" w:val="clear"/>
        </w:rPr>
      </w:pPr>
      <w:r>
        <w:rPr>
          <w:rFonts w:cs="Arial" w:ascii="Calibri" w:hAnsi="Calibri"/>
          <w:b w:val="false"/>
          <w:bCs w:val="false"/>
          <w:i w:val="false"/>
          <w:iCs w:val="false"/>
          <w:color w:val="000000"/>
          <w:sz w:val="24"/>
          <w:szCs w:val="24"/>
          <w:shd w:fill="auto" w:val="clear"/>
        </w:rPr>
        <w:t>DANIEL ROCHA</w:t>
      </w:r>
    </w:p>
    <w:p>
      <w:pPr>
        <w:pStyle w:val="Normal"/>
        <w:widowControl/>
        <w:tabs>
          <w:tab w:val="clear" w:pos="708"/>
        </w:tabs>
        <w:bidi w:val="0"/>
        <w:spacing w:lineRule="auto" w:line="240" w:before="0" w:after="0"/>
        <w:ind w:left="0" w:right="0" w:hanging="0"/>
        <w:contextualSpacing/>
        <w:jc w:val="center"/>
        <w:rPr>
          <w:rFonts w:ascii="Calibri" w:hAnsi="Calibri"/>
          <w:i w:val="false"/>
          <w:i w:val="false"/>
          <w:iCs w:val="false"/>
          <w:color w:val="000000"/>
          <w:sz w:val="24"/>
          <w:szCs w:val="24"/>
          <w:shd w:fill="auto" w:val="clear"/>
        </w:rPr>
      </w:pPr>
      <w:r>
        <w:rPr>
          <w:rFonts w:cs="Arial" w:ascii="Calibri" w:hAnsi="Calibri"/>
          <w:b w:val="false"/>
          <w:bCs w:val="false"/>
          <w:i w:val="false"/>
          <w:iCs w:val="false"/>
          <w:color w:val="000000"/>
          <w:sz w:val="24"/>
          <w:szCs w:val="24"/>
          <w:shd w:fill="auto" w:val="clear"/>
        </w:rPr>
        <w:t>Capitão de Fragata</w:t>
      </w:r>
    </w:p>
    <w:p>
      <w:pPr>
        <w:pStyle w:val="Normal"/>
        <w:widowControl/>
        <w:tabs>
          <w:tab w:val="clear" w:pos="708"/>
        </w:tabs>
        <w:bidi w:val="0"/>
        <w:spacing w:lineRule="auto" w:line="240" w:before="0" w:after="0"/>
        <w:ind w:left="0" w:right="0" w:hanging="0"/>
        <w:contextualSpacing/>
        <w:jc w:val="center"/>
        <w:rPr>
          <w:rFonts w:ascii="Calibri" w:hAnsi="Calibri"/>
          <w:i w:val="false"/>
          <w:i w:val="false"/>
          <w:iCs w:val="false"/>
          <w:color w:val="000000"/>
          <w:sz w:val="24"/>
          <w:szCs w:val="24"/>
          <w:shd w:fill="auto" w:val="clear"/>
        </w:rPr>
      </w:pPr>
      <w:r>
        <w:rPr>
          <w:rFonts w:eastAsia="MS Mincho" w:cs="Arial" w:ascii="Calibri" w:hAnsi="Calibri"/>
          <w:b w:val="false"/>
          <w:bCs w:val="false"/>
          <w:i w:val="false"/>
          <w:iCs w:val="false"/>
          <w:color w:val="000000"/>
          <w:sz w:val="24"/>
          <w:szCs w:val="24"/>
          <w:shd w:fill="auto" w:val="clear"/>
        </w:rPr>
        <w:t>Ordenador de Despesas</w:t>
      </w:r>
    </w:p>
    <w:sectPr>
      <w:footerReference w:type="default" r:id="rId9"/>
      <w:type w:val="nextPage"/>
      <w:pgSz w:w="11906" w:h="16838"/>
      <w:pgMar w:left="1701" w:right="1134"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center"/>
      <w:rPr>
        <w:rFonts w:ascii="Calibri" w:hAnsi="Calibri"/>
        <w:strike w:val="false"/>
        <w:dstrike w:val="false"/>
        <w:sz w:val="24"/>
        <w:szCs w:val="24"/>
      </w:rPr>
    </w:pPr>
    <w:r>
      <w:rPr>
        <w:rFonts w:cs="Arial" w:ascii="Calibri" w:hAnsi="Calibri"/>
        <w:strike w:val="false"/>
        <w:dstrike w:val="false"/>
        <w:sz w:val="24"/>
        <w:szCs w:val="24"/>
      </w:rPr>
      <w:t>-</w:t>
    </w:r>
    <w:r>
      <w:rPr>
        <w:rFonts w:cs="Arial" w:ascii="Calibri" w:hAnsi="Calibri"/>
        <w:strike w:val="false"/>
        <w:dstrike w:val="false"/>
        <w:sz w:val="24"/>
        <w:szCs w:val="24"/>
      </w:rPr>
      <w:fldChar w:fldCharType="begin"/>
    </w:r>
    <w:r>
      <w:rPr>
        <w:dstrike w:val="false"/>
        <w:strike w:val="false"/>
        <w:sz w:val="24"/>
        <w:szCs w:val="24"/>
        <w:rFonts w:cs="Arial" w:ascii="Calibri" w:hAnsi="Calibri"/>
      </w:rPr>
      <w:instrText> PAGE </w:instrText>
    </w:r>
    <w:r>
      <w:rPr>
        <w:dstrike w:val="false"/>
        <w:strike w:val="false"/>
        <w:sz w:val="24"/>
        <w:szCs w:val="24"/>
        <w:rFonts w:cs="Arial" w:ascii="Calibri" w:hAnsi="Calibri"/>
      </w:rPr>
      <w:fldChar w:fldCharType="separate"/>
    </w:r>
    <w:r>
      <w:rPr>
        <w:dstrike w:val="false"/>
        <w:strike w:val="false"/>
        <w:sz w:val="24"/>
        <w:szCs w:val="24"/>
        <w:rFonts w:cs="Arial" w:ascii="Calibri" w:hAnsi="Calibri"/>
      </w:rPr>
      <w:t>20</w:t>
    </w:r>
    <w:r>
      <w:rPr>
        <w:dstrike w:val="false"/>
        <w:strike w:val="false"/>
        <w:sz w:val="24"/>
        <w:szCs w:val="24"/>
        <w:rFonts w:cs="Arial" w:ascii="Calibri" w:hAnsi="Calibri"/>
      </w:rPr>
      <w:fldChar w:fldCharType="end"/>
    </w:r>
    <w:r>
      <w:rPr>
        <w:rFonts w:cs="Arial" w:ascii="Calibri" w:hAnsi="Calibri"/>
        <w:strike w:val="false"/>
        <w:dstrike w:val="false"/>
        <w:sz w:val="24"/>
        <w:szCs w:val="24"/>
      </w:rPr>
      <w:t>-</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7"/>
      <w:numFmt w:val="decimal"/>
      <w:lvlText w:val="%1"/>
      <w:lvlJc w:val="left"/>
      <w:pPr>
        <w:tabs>
          <w:tab w:val="num" w:pos="0"/>
        </w:tabs>
        <w:ind w:left="360" w:hanging="360"/>
      </w:pPr>
    </w:lvl>
    <w:lvl w:ilvl="1">
      <w:start w:val="9"/>
      <w:numFmt w:val="decimal"/>
      <w:lvlText w:val="%1.%2"/>
      <w:lvlJc w:val="left"/>
      <w:pPr>
        <w:tabs>
          <w:tab w:val="num" w:pos="0"/>
        </w:tabs>
        <w:ind w:left="785" w:hanging="360"/>
      </w:pPr>
    </w:lvl>
    <w:lvl w:ilvl="2">
      <w:start w:val="1"/>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5">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false"/>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
  </w:num>
  <w:num w:numId="245">
    <w:abstractNumId w:val="2"/>
  </w:num>
  <w:num w:numId="246">
    <w:abstractNumId w:val="2"/>
  </w:num>
  <w:num w:numId="247">
    <w:abstractNumId w:val="2"/>
    <w:lvlOverride w:ilvl="1">
      <w:startOverride w:val="1"/>
    </w:lvlOverride>
  </w:num>
  <w:num w:numId="248">
    <w:abstractNumId w:val="2"/>
  </w:num>
  <w:num w:numId="249">
    <w:abstractNumId w:val="2"/>
  </w:num>
  <w:num w:numId="250">
    <w:abstractNumId w:val="2"/>
  </w:num>
  <w:num w:numId="251">
    <w:abstractNumId w:val="2"/>
  </w:num>
  <w:num w:numId="252">
    <w:abstractNumId w:val="2"/>
  </w:num>
  <w:num w:numId="253">
    <w:abstractNumId w:val="2"/>
  </w:num>
  <w:num w:numId="254">
    <w:abstractNumId w:val="2"/>
  </w:num>
  <w:num w:numId="255">
    <w:abstractNumId w:val="2"/>
  </w:num>
  <w:num w:numId="256">
    <w:abstractNumId w:val="2"/>
  </w:num>
  <w:num w:numId="257">
    <w:abstractNumId w:val="2"/>
  </w:num>
  <w:num w:numId="258">
    <w:abstractNumId w:val="2"/>
  </w:num>
  <w:num w:numId="259">
    <w:abstractNumId w:val="2"/>
  </w:num>
  <w:num w:numId="260">
    <w:abstractNumId w:val="2"/>
  </w:num>
  <w:num w:numId="261">
    <w:abstractNumId w:val="2"/>
  </w:num>
  <w:num w:numId="262">
    <w:abstractNumId w:val="2"/>
  </w:num>
  <w:num w:numId="263">
    <w:abstractNumId w:val="2"/>
  </w:num>
  <w:num w:numId="264">
    <w:abstractNumId w:val="2"/>
  </w:num>
  <w:num w:numId="265">
    <w:abstractNumId w:val="2"/>
  </w:num>
  <w:num w:numId="266">
    <w:abstractNumId w:val="2"/>
  </w:num>
  <w:num w:numId="267">
    <w:abstractNumId w:val="2"/>
  </w:num>
  <w:num w:numId="268">
    <w:abstractNumId w:val="2"/>
  </w:num>
  <w:num w:numId="269">
    <w:abstractNumId w:val="2"/>
  </w:num>
  <w:num w:numId="270">
    <w:abstractNumId w:val="2"/>
  </w:num>
  <w:num w:numId="271">
    <w:abstractNumId w:val="2"/>
  </w:num>
  <w:num w:numId="272">
    <w:abstractNumId w:val="2"/>
  </w:num>
  <w:num w:numId="273">
    <w:abstractNumId w:val="2"/>
  </w:num>
  <w:num w:numId="274">
    <w:abstractNumId w:val="2"/>
  </w:num>
  <w:num w:numId="275">
    <w:abstractNumId w:val="2"/>
  </w:num>
  <w:num w:numId="276">
    <w:abstractNumId w:val="2"/>
  </w:num>
  <w:num w:numId="277">
    <w:abstractNumId w:val="2"/>
  </w:num>
  <w:num w:numId="278">
    <w:abstractNumId w:val="2"/>
  </w:num>
  <w:num w:numId="279">
    <w:abstractNumId w:val="2"/>
  </w:num>
  <w:num w:numId="280">
    <w:abstractNumId w:val="2"/>
  </w:num>
  <w:num w:numId="281">
    <w:abstractNumId w:val="2"/>
  </w:num>
  <w:num w:numId="282">
    <w:abstractNumId w:val="2"/>
  </w:num>
  <w:num w:numId="283">
    <w:abstractNumId w:val="2"/>
  </w:num>
  <w:num w:numId="284">
    <w:abstractNumId w:val="2"/>
    <w:lvlOverride w:ilvl="1">
      <w:startOverride w:val="1"/>
    </w:lvlOverride>
  </w:num>
  <w:num w:numId="285">
    <w:abstractNumId w:val="2"/>
  </w:num>
  <w:num w:numId="286">
    <w:abstractNumId w:val="2"/>
  </w:num>
  <w:num w:numId="287">
    <w:abstractNumId w:val="2"/>
  </w:num>
  <w:num w:numId="288">
    <w:abstractNumId w:val="2"/>
  </w:num>
  <w:num w:numId="289">
    <w:abstractNumId w:val="2"/>
  </w:num>
  <w:num w:numId="290">
    <w:abstractNumId w:val="2"/>
  </w:num>
  <w:num w:numId="291">
    <w:abstractNumId w:val="2"/>
  </w:num>
  <w:num w:numId="292">
    <w:abstractNumId w:val="2"/>
  </w:num>
  <w:num w:numId="293">
    <w:abstractNumId w:val="2"/>
  </w:num>
  <w:num w:numId="294">
    <w:abstractNumId w:val="2"/>
  </w:num>
  <w:num w:numId="295">
    <w:abstractNumId w:val="2"/>
  </w:num>
  <w:num w:numId="296">
    <w:abstractNumId w:val="2"/>
  </w:num>
  <w:num w:numId="297">
    <w:abstractNumId w:val="2"/>
  </w:num>
  <w:num w:numId="298">
    <w:abstractNumId w:val="2"/>
  </w:num>
  <w:num w:numId="299">
    <w:abstractNumId w:val="2"/>
  </w:num>
  <w:num w:numId="300">
    <w:abstractNumId w:val="2"/>
  </w:num>
  <w:num w:numId="301">
    <w:abstractNumId w:val="2"/>
  </w:num>
  <w:num w:numId="302">
    <w:abstractNumId w:val="2"/>
  </w:num>
  <w:num w:numId="303">
    <w:abstractNumId w:val="2"/>
  </w:num>
  <w:num w:numId="304">
    <w:abstractNumId w:val="2"/>
  </w:num>
  <w:num w:numId="305">
    <w:abstractNumId w:val="2"/>
  </w:num>
  <w:num w:numId="306">
    <w:abstractNumId w:val="2"/>
  </w:num>
  <w:num w:numId="307">
    <w:abstractNumId w:val="2"/>
  </w:num>
  <w:num w:numId="308">
    <w:abstractNumId w:val="2"/>
  </w:num>
  <w:num w:numId="309">
    <w:abstractNumId w:val="2"/>
  </w:num>
  <w:num w:numId="310">
    <w:abstractNumId w:val="2"/>
  </w:num>
  <w:num w:numId="311">
    <w:abstractNumId w:val="2"/>
  </w:num>
  <w:num w:numId="312">
    <w:abstractNumId w:val="2"/>
  </w:num>
  <w:num w:numId="313">
    <w:abstractNumId w:val="2"/>
  </w:num>
  <w:num w:numId="314">
    <w:abstractNumId w:val="2"/>
  </w:num>
  <w:num w:numId="315">
    <w:abstractNumId w:val="2"/>
  </w:num>
  <w:num w:numId="316">
    <w:abstractNumId w:val="2"/>
  </w:num>
  <w:num w:numId="317">
    <w:abstractNumId w:val="2"/>
  </w:num>
  <w:num w:numId="318">
    <w:abstractNumId w:val="2"/>
  </w:num>
  <w:num w:numId="319">
    <w:abstractNumId w:val="2"/>
  </w:num>
  <w:num w:numId="320">
    <w:abstractNumId w:val="2"/>
  </w:num>
  <w:num w:numId="321">
    <w:abstractNumId w:val="2"/>
  </w:num>
  <w:num w:numId="322">
    <w:abstractNumId w:val="2"/>
  </w:num>
  <w:num w:numId="323">
    <w:abstractNumId w:val="2"/>
  </w:num>
  <w:num w:numId="324">
    <w:abstractNumId w:val="2"/>
  </w:num>
  <w:num w:numId="325">
    <w:abstractNumId w:val="2"/>
  </w:num>
  <w:num w:numId="326">
    <w:abstractNumId w:val="2"/>
  </w:num>
  <w:num w:numId="327">
    <w:abstractNumId w:val="2"/>
  </w:num>
  <w:num w:numId="328">
    <w:abstractNumId w:val="2"/>
  </w:num>
  <w:num w:numId="329">
    <w:abstractNumId w:val="2"/>
  </w:num>
  <w:num w:numId="330">
    <w:abstractNumId w:val="2"/>
  </w:num>
  <w:num w:numId="331">
    <w:abstractNumId w:val="2"/>
  </w:num>
  <w:num w:numId="332">
    <w:abstractNumId w:val="2"/>
  </w:num>
  <w:num w:numId="333">
    <w:abstractNumId w:val="2"/>
  </w:num>
  <w:num w:numId="334">
    <w:abstractNumId w:val="2"/>
  </w:num>
  <w:num w:numId="335">
    <w:abstractNumId w:val="2"/>
  </w:num>
  <w:num w:numId="336">
    <w:abstractNumId w:val="2"/>
    <w:lvlOverride w:ilvl="2">
      <w:startOverride w:val="5"/>
    </w:lvlOverride>
  </w:num>
  <w:num w:numId="337">
    <w:abstractNumId w:val="2"/>
  </w:num>
  <w:num w:numId="338">
    <w:abstractNumId w:val="2"/>
  </w:num>
  <w:num w:numId="339">
    <w:abstractNumId w:val="2"/>
  </w:num>
  <w:num w:numId="340">
    <w:abstractNumId w:val="2"/>
  </w:num>
  <w:num w:numId="341">
    <w:abstractNumId w:val="2"/>
  </w:num>
  <w:num w:numId="342">
    <w:abstractNumId w:val="2"/>
  </w:num>
  <w:num w:numId="343">
    <w:abstractNumId w:val="2"/>
  </w:num>
  <w:num w:numId="344">
    <w:abstractNumId w:val="2"/>
  </w:num>
  <w:num w:numId="345">
    <w:abstractNumId w:val="2"/>
  </w:num>
  <w:num w:numId="346">
    <w:abstractNumId w:val="2"/>
  </w:num>
  <w:num w:numId="347">
    <w:abstractNumId w:val="2"/>
  </w:num>
  <w:num w:numId="348">
    <w:abstractNumId w:val="2"/>
  </w:num>
  <w:num w:numId="349">
    <w:abstractNumId w:val="2"/>
  </w:num>
  <w:num w:numId="350">
    <w:abstractNumId w:val="2"/>
  </w:num>
  <w:num w:numId="351">
    <w:abstractNumId w:val="2"/>
  </w:num>
  <w:num w:numId="352">
    <w:abstractNumId w:val="2"/>
  </w:num>
  <w:num w:numId="353">
    <w:abstractNumId w:val="2"/>
  </w:num>
  <w:num w:numId="354">
    <w:abstractNumId w:val="2"/>
  </w:num>
  <w:num w:numId="355">
    <w:abstractNumId w:val="2"/>
  </w:num>
  <w:num w:numId="356">
    <w:abstractNumId w:val="2"/>
  </w:num>
  <w:num w:numId="357">
    <w:abstractNumId w:val="2"/>
  </w:num>
  <w:num w:numId="358">
    <w:abstractNumId w:val="2"/>
  </w:num>
  <w:num w:numId="359">
    <w:abstractNumId w:val="2"/>
  </w:num>
  <w:num w:numId="360">
    <w:abstractNumId w:val="2"/>
  </w:num>
  <w:num w:numId="361">
    <w:abstractNumId w:val="2"/>
  </w:num>
  <w:num w:numId="362">
    <w:abstractNumId w:val="2"/>
  </w:num>
  <w:num w:numId="363">
    <w:abstractNumId w:val="2"/>
  </w:num>
  <w:num w:numId="364">
    <w:abstractNumId w:val="2"/>
  </w:num>
  <w:num w:numId="365">
    <w:abstractNumId w:val="2"/>
  </w:num>
  <w:num w:numId="366">
    <w:abstractNumId w:val="2"/>
    <w:lvlOverride w:ilvl="2">
      <w:startOverride w:val="1"/>
    </w:lvlOverride>
  </w:num>
  <w:num w:numId="367">
    <w:abstractNumId w:val="2"/>
  </w:num>
  <w:num w:numId="368">
    <w:abstractNumId w:val="2"/>
  </w:num>
  <w:num w:numId="369">
    <w:abstractNumId w:val="2"/>
  </w:num>
  <w:num w:numId="370">
    <w:abstractNumId w:val="2"/>
  </w:num>
  <w:num w:numId="371">
    <w:abstractNumId w:val="2"/>
  </w:num>
  <w:num w:numId="372">
    <w:abstractNumId w:val="2"/>
  </w:num>
  <w:num w:numId="373">
    <w:abstractNumId w:val="2"/>
  </w:num>
  <w:num w:numId="374">
    <w:abstractNumId w:val="2"/>
  </w:num>
  <w:num w:numId="375">
    <w:abstractNumId w:val="2"/>
  </w:num>
  <w:num w:numId="376">
    <w:abstractNumId w:val="2"/>
  </w:num>
  <w:num w:numId="377">
    <w:abstractNumId w:val="2"/>
  </w:num>
  <w:num w:numId="378">
    <w:abstractNumId w:val="2"/>
  </w:num>
  <w:num w:numId="379">
    <w:abstractNumId w:val="2"/>
  </w:num>
  <w:num w:numId="380">
    <w:abstractNumId w:val="2"/>
  </w:num>
  <w:num w:numId="381">
    <w:abstractNumId w:val="2"/>
  </w:num>
  <w:num w:numId="382">
    <w:abstractNumId w:val="2"/>
  </w:num>
  <w:num w:numId="383">
    <w:abstractNumId w:val="2"/>
  </w:num>
  <w:num w:numId="384">
    <w:abstractNumId w:val="2"/>
  </w:num>
  <w:num w:numId="385">
    <w:abstractNumId w:val="2"/>
  </w:num>
  <w:num w:numId="386">
    <w:abstractNumId w:val="2"/>
  </w:num>
  <w:num w:numId="387">
    <w:abstractNumId w:val="2"/>
  </w:num>
  <w:num w:numId="388">
    <w:abstractNumId w:val="2"/>
  </w:num>
  <w:num w:numId="389">
    <w:abstractNumId w:val="2"/>
  </w:num>
  <w:num w:numId="390">
    <w:abstractNumId w:val="2"/>
  </w:num>
  <w:num w:numId="391">
    <w:abstractNumId w:val="2"/>
  </w:num>
  <w:num w:numId="392">
    <w:abstractNumId w:val="2"/>
  </w:num>
  <w:num w:numId="393">
    <w:abstractNumId w:val="2"/>
  </w:num>
  <w:num w:numId="394">
    <w:abstractNumId w:val="2"/>
  </w:num>
  <w:num w:numId="395">
    <w:abstractNumId w:val="2"/>
  </w:num>
  <w:num w:numId="396">
    <w:abstractNumId w:val="2"/>
  </w:num>
  <w:num w:numId="397">
    <w:abstractNumId w:val="2"/>
  </w:num>
  <w:num w:numId="398">
    <w:abstractNumId w:val="2"/>
  </w:num>
  <w:num w:numId="399">
    <w:abstractNumId w:val="2"/>
  </w:num>
  <w:num w:numId="400">
    <w:abstractNumId w:val="2"/>
  </w:num>
  <w:num w:numId="401">
    <w:abstractNumId w:val="2"/>
  </w:num>
  <w:num w:numId="402">
    <w:abstractNumId w:val="2"/>
  </w:num>
  <w:num w:numId="403">
    <w:abstractNumId w:val="2"/>
  </w:num>
  <w:num w:numId="404">
    <w:abstractNumId w:val="2"/>
  </w:num>
  <w:num w:numId="405">
    <w:abstractNumId w:val="2"/>
  </w:num>
  <w:num w:numId="406">
    <w:abstractNumId w:val="2"/>
  </w:num>
  <w:num w:numId="407">
    <w:abstractNumId w:val="2"/>
  </w:num>
  <w:num w:numId="408">
    <w:abstractNumId w:val="2"/>
  </w:num>
  <w:num w:numId="409">
    <w:abstractNumId w:val="2"/>
  </w:num>
  <w:num w:numId="410">
    <w:abstractNumId w:val="2"/>
  </w:num>
  <w:num w:numId="411">
    <w:abstractNumId w:val="2"/>
  </w:num>
  <w:num w:numId="412">
    <w:abstractNumId w:val="2"/>
  </w:num>
  <w:num w:numId="413">
    <w:abstractNumId w:val="2"/>
  </w:num>
  <w:num w:numId="414">
    <w:abstractNumId w:val="2"/>
  </w:num>
  <w:num w:numId="415">
    <w:abstractNumId w:val="2"/>
  </w:num>
  <w:num w:numId="416">
    <w:abstractNumId w:val="2"/>
  </w:num>
  <w:num w:numId="417">
    <w:abstractNumId w:val="2"/>
  </w:num>
  <w:num w:numId="418">
    <w:abstractNumId w:val="2"/>
  </w:num>
  <w:num w:numId="419">
    <w:abstractNumId w:val="2"/>
  </w:num>
  <w:num w:numId="420">
    <w:abstractNumId w:val="2"/>
  </w:num>
  <w:num w:numId="421">
    <w:abstractNumId w:val="2"/>
  </w:num>
  <w:num w:numId="422">
    <w:abstractNumId w:val="2"/>
  </w:num>
  <w:num w:numId="423">
    <w:abstractNumId w:val="2"/>
  </w:num>
  <w:num w:numId="424">
    <w:abstractNumId w:val="2"/>
  </w:num>
  <w:num w:numId="425">
    <w:abstractNumId w:val="2"/>
  </w:num>
  <w:num w:numId="426">
    <w:abstractNumId w:val="2"/>
    <w:lvlOverride w:ilvl="1">
      <w:startOverride w:val="1"/>
    </w:lvlOverride>
  </w:num>
  <w:num w:numId="427">
    <w:abstractNumId w:val="2"/>
  </w:num>
  <w:num w:numId="428">
    <w:abstractNumId w:val="2"/>
  </w:num>
  <w:num w:numId="429">
    <w:abstractNumId w:val="2"/>
  </w:num>
  <w:num w:numId="430">
    <w:abstractNumId w:val="2"/>
  </w:num>
  <w:num w:numId="431">
    <w:abstractNumId w:val="2"/>
  </w:num>
  <w:num w:numId="432">
    <w:abstractNumId w:val="2"/>
  </w:num>
  <w:num w:numId="433">
    <w:abstractNumId w:val="2"/>
  </w:num>
  <w:num w:numId="434">
    <w:abstractNumId w:val="2"/>
  </w:num>
  <w:num w:numId="435">
    <w:abstractNumId w:val="2"/>
  </w:num>
  <w:num w:numId="436">
    <w:abstractNumId w:val="2"/>
  </w:num>
  <w:num w:numId="437">
    <w:abstractNumId w:val="2"/>
  </w:num>
  <w:num w:numId="438">
    <w:abstractNumId w:val="2"/>
  </w:num>
  <w:num w:numId="439">
    <w:abstractNumId w:val="2"/>
  </w:num>
  <w:num w:numId="440">
    <w:abstractNumId w:val="2"/>
  </w:num>
  <w:num w:numId="441">
    <w:abstractNumId w:val="2"/>
  </w:num>
  <w:num w:numId="442">
    <w:abstractNumId w:val="2"/>
  </w:num>
  <w:num w:numId="443">
    <w:abstractNumId w:val="2"/>
  </w:num>
  <w:num w:numId="444">
    <w:abstractNumId w:val="2"/>
  </w:num>
  <w:num w:numId="445">
    <w:abstractNumId w:val="2"/>
  </w:num>
  <w:num w:numId="446">
    <w:abstractNumId w:val="2"/>
  </w:num>
  <w:num w:numId="447">
    <w:abstractNumId w:val="2"/>
  </w:num>
  <w:num w:numId="448">
    <w:abstractNumId w:val="2"/>
  </w:num>
  <w:num w:numId="449">
    <w:abstractNumId w:val="2"/>
  </w:num>
  <w:num w:numId="450">
    <w:abstractNumId w:val="2"/>
  </w:num>
  <w:num w:numId="451">
    <w:abstractNumId w:val="2"/>
  </w:num>
  <w:num w:numId="452">
    <w:abstractNumId w:val="2"/>
  </w:num>
  <w:num w:numId="453">
    <w:abstractNumId w:val="2"/>
    <w:lvlOverride w:ilvl="1">
      <w:startOverride w:val="20"/>
    </w:lvlOverride>
  </w:num>
  <w:num w:numId="454">
    <w:abstractNumId w:val="2"/>
  </w:num>
  <w:num w:numId="455">
    <w:abstractNumId w:val="2"/>
  </w:num>
  <w:num w:numId="456">
    <w:abstractNumId w:val="2"/>
  </w:num>
  <w:num w:numId="457">
    <w:abstractNumId w:val="2"/>
  </w:num>
  <w:num w:numId="458">
    <w:abstractNumId w:val="2"/>
  </w:num>
  <w:num w:numId="459">
    <w:abstractNumId w:val="2"/>
  </w:num>
  <w:num w:numId="460">
    <w:abstractNumId w:val="2"/>
  </w:num>
  <w:num w:numId="461">
    <w:abstractNumId w:val="2"/>
  </w:num>
  <w:num w:numId="462">
    <w:abstractNumId w:val="2"/>
  </w:num>
  <w:num w:numId="463">
    <w:abstractNumId w:val="2"/>
  </w:num>
  <w:num w:numId="464">
    <w:abstractNumId w:val="2"/>
  </w:num>
  <w:num w:numId="465">
    <w:abstractNumId w:val="2"/>
  </w:num>
  <w:num w:numId="466">
    <w:abstractNumId w:val="2"/>
  </w:num>
  <w:num w:numId="467">
    <w:abstractNumId w:val="2"/>
  </w:num>
  <w:num w:numId="468">
    <w:abstractNumId w:val="2"/>
  </w:num>
  <w:num w:numId="469">
    <w:abstractNumId w:val="2"/>
  </w:num>
  <w:num w:numId="470">
    <w:abstractNumId w:val="2"/>
  </w:num>
  <w:num w:numId="471">
    <w:abstractNumId w:val="2"/>
  </w:num>
  <w:num w:numId="472">
    <w:abstractNumId w:val="2"/>
  </w:num>
  <w:num w:numId="473">
    <w:abstractNumId w:val="2"/>
  </w:num>
  <w:num w:numId="474">
    <w:abstractNumId w:val="2"/>
  </w:num>
  <w:num w:numId="475">
    <w:abstractNumId w:val="2"/>
  </w:num>
  <w:num w:numId="476">
    <w:abstractNumId w:val="2"/>
  </w:num>
  <w:num w:numId="477">
    <w:abstractNumId w:val="2"/>
  </w:num>
  <w:num w:numId="478">
    <w:abstractNumId w:val="2"/>
  </w:num>
  <w:num w:numId="479">
    <w:abstractNumId w:val="2"/>
  </w:num>
  <w:num w:numId="480">
    <w:abstractNumId w:val="2"/>
  </w:num>
</w:numbering>
</file>

<file path=word/settings.xml><?xml version="1.0" encoding="utf-8"?>
<w:settings xmlns:w="http://schemas.openxmlformats.org/wordprocessingml/2006/main">
  <w:zoom w:percent="16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30a4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f77ad"/>
    <w:rPr>
      <w:rFonts w:ascii="Ecofont_Spranq_eco_Sans" w:hAnsi="Ecofont_Spranq_eco_Sans" w:eastAsia="ＭＳ ゴシック" w:cs="" w:cstheme="majorBidi" w:eastAsiaTheme="majorEastAsia"/>
      <w:b/>
      <w:bCs/>
      <w:color w:val="000000"/>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Ecofont_Spranq_eco_Sans" w:hAnsi="Ecofont_Spranq_eco_Sans" w:eastAsia="ＭＳ ゴシック"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0"/>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3629e4"/>
    <w:rPr>
      <w:rFonts w:ascii="Ecofont_Spranq_eco_Sans" w:hAnsi="Ecofont_Spranq_eco_Sans" w:eastAsia="Arial Unicode MS"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Nfaseforte">
    <w:name w:val="Ênfase forte"/>
    <w:qFormat/>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1"/>
      </w:num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d30a43"/>
    <w:pPr>
      <w:tabs>
        <w:tab w:val="clear" w:pos="708"/>
        <w:tab w:val="left" w:pos="567" w:leader="none"/>
      </w:tabs>
      <w:spacing w:before="240" w:after="0"/>
      <w:jc w:val="both"/>
      <w:outlineLvl w:val="9"/>
    </w:pPr>
    <w:rPr>
      <w:rFonts w:ascii="Ecofont_Spranq_eco_Sans" w:hAnsi="Ecofont_Spranq_eco_Sans" w:cs="Times New Roman"/>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outlineLvl w:val="9"/>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qFormat/>
    <w:rsid w:val="003629e4"/>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3629e4"/>
    <w:pPr/>
    <w:rPr>
      <w:rFonts w:cs="Arial"/>
      <w:b/>
    </w:rPr>
  </w:style>
  <w:style w:type="paragraph" w:styleId="Nivel3" w:customStyle="1">
    <w:name w:val="Nivel 3"/>
    <w:basedOn w:val="Nivel2"/>
    <w:qFormat/>
    <w:rsid w:val="003629e4"/>
    <w:pPr/>
    <w:rPr>
      <w:rFonts w:cs="Arial"/>
      <w:color w:val="000000"/>
    </w:rPr>
  </w:style>
  <w:style w:type="paragraph" w:styleId="Nivel4" w:customStyle="1">
    <w:name w:val="Nivel 4"/>
    <w:basedOn w:val="Nivel3"/>
    <w:link w:val="Nivel4Char"/>
    <w:qFormat/>
    <w:rsid w:val="003629e4"/>
    <w:pPr/>
    <w:rPr>
      <w:color w:val="auto"/>
    </w:rPr>
  </w:style>
  <w:style w:type="paragraph" w:styleId="Nivel5" w:customStyle="1">
    <w:name w:val="Nivel 5"/>
    <w:basedOn w:val="Nivel4"/>
    <w:qFormat/>
    <w:rsid w:val="00d30a43"/>
    <w:pPr>
      <w:ind w:left="3348" w:hanging="108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gov.br/compras/pt-br" TargetMode="External"/><Relationship Id="rId3" Type="http://schemas.openxmlformats.org/officeDocument/2006/relationships/hyperlink" Target="https://www.gov.br/compras/pt-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contas.tcu.gov.br/ords/f?p=INABILITADO:CERTIDAO:0" TargetMode="External"/><Relationship Id="rId7" Type="http://schemas.openxmlformats.org/officeDocument/2006/relationships/hyperlink" Target="mailto:alexis.sanzio@marinha.mil.br" TargetMode="External"/><Relationship Id="rId8" Type="http://schemas.openxmlformats.org/officeDocument/2006/relationships/hyperlink" Target="mailto:alexis.sanzio@marinha.mil.br" TargetMode="Externa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Relationship Id="rId18" Type="http://schemas.openxmlformats.org/officeDocument/2006/relationships/customXml" Target="../customXml/item5.xml"/><Relationship Id="rId19" Type="http://schemas.openxmlformats.org/officeDocument/2006/relationships/customXml" Target="../customXml/item6.xml"/><Relationship Id="rId20" Type="http://schemas.openxmlformats.org/officeDocument/2006/relationships/customXml" Target="../customXml/item7.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838938-BD84-4BC0-9562-968CACBE0A2E}">
  <ds:schemaRefs>
    <ds:schemaRef ds:uri="http://schemas.openxmlformats.org/officeDocument/2006/bibliography"/>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355</TotalTime>
  <Application>LibreOffice/7.2.7.2$Windows_X86_64 LibreOffice_project/8d71d29d553c0f7dcbfa38fbfda25ee34cce99a2</Application>
  <AppVersion>15.0000</AppVersion>
  <Pages>20</Pages>
  <Words>8497</Words>
  <Characters>47896</Characters>
  <CharactersWithSpaces>55874</CharactersWithSpaces>
  <Paragraphs>324</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2021-12-28T13:20:00Z</dcterms:created>
  <dc:creator>Manoel Paz</dc:creator>
  <dc:description/>
  <dc:language>pt-BR</dc:language>
  <cp:lastModifiedBy/>
  <cp:lastPrinted>2023-09-28T10:02:59Z</cp:lastPrinted>
  <dcterms:modified xsi:type="dcterms:W3CDTF">2023-12-11T10:51:18Z</dcterms:modified>
  <cp:revision>105</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